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"https://pravopmr.ru/View.aspx?id=qFd1WCmOmRm%2fMsGvmVqE%2bg%3d%3d"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6 на 26 января 2021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16 октября 2015 г.</w:t>
      </w:r>
      <w:r>
        <w:br/>
      </w:r>
      <w:r>
        <w:rPr>
          <w:b w:val="true"/>
        </w:rPr>
        <w:t>№ 272</w:t>
      </w:r>
    </w:p>
    <w:p>
      <w:pPr>
        <w:pStyle w:val="head"/>
        <w:rPr/>
      </w:pPr>
      <w:r>
        <w:rPr>
          <w:b w:val="true"/>
        </w:rPr>
        <w:t>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</w:t>
      </w:r>
    </w:p>
    <w:p>
      <w:pPr>
        <w:pStyle w:val="head"/>
        <w:rPr/>
      </w:pPr>
      <w:r>
        <w:rPr/>
        <w:t>САЗ (19.10.2015) № 15-42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статьей 76-6 </w:t>
      </w:r>
      <w:r>
        <w:fldChar w:fldCharType="begin" w:fldLock="false" w:dirty="false"/>
      </w:r>
      <w:r>
        <w:rPr/>
        <w:instrText xml:space="preserve"> HYPERLINK "https://pravopmr.ru/View.aspx?id=ail%2b65fV%2bSK9WIjXFL9V4Q%3d%3d"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"https://pravopmr.ru/View.aspx?id=Y5h6%2bJzksOULSkYjSY%2bnVw%3d%3d"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11-48), </w:t>
      </w:r>
      <w:r>
        <w:fldChar w:fldCharType="begin" w:fldLock="false" w:dirty="false"/>
      </w:r>
      <w:r>
        <w:rPr/>
        <w:instrText xml:space="preserve"> HYPERLINK "https://pravopmr.ru/View.aspx?id=%2fUmg2jsBCYP2BJzZeh3gOA%3d%3d" \o "(ВСТУПИЛ В СИЛУ 26.04.2004) О государственной молодежной политике"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21 апреля 2004 года № 408-З-III "О государственной молодежной политике"</w:t>
      </w:r>
      <w:r>
        <w:fldChar w:fldCharType="end"/>
      </w:r>
      <w:r>
        <w:rPr>
          <w:sz w:val="24"/>
        </w:rPr>
        <w:t xml:space="preserve"> (САЗ 04-17),</w:t>
      </w:r>
      <w:r>
        <w:rPr>
          <w:i w:val="true"/>
          <w:sz w:val="24"/>
        </w:rPr>
        <w:t xml:space="preserve"> </w:t>
      </w:r>
      <w:r>
        <w:rPr>
          <w:sz w:val="24"/>
        </w:rPr>
        <w:t>законом о республиканском бюджете на соответствующий финансовый год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1.</w:t>
      </w:r>
      <w:r>
        <w:rPr>
          <w:sz w:val="24"/>
        </w:rPr>
        <w:t xml:space="preserve"> Утвердить Положение о порядке предоставления бюджетных кредитов молодым семьям на приобретение строительных материалов, произведенных на территории Приднестровской Молдавской Республики, для строительства домовладений, а также на приобретение жилья (Приложение № 1 к настоящему Постановлению).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2.</w:t>
      </w:r>
      <w:r>
        <w:rPr>
          <w:sz w:val="24"/>
        </w:rPr>
        <w:t xml:space="preserve"> Утвердить Положение о порядке предоставления беспроцентных бюджетных кредитов молодым специалистам органов внутренних дел, просвещения, здравоохранения и крестьянских (фермерских) хозяйств, работающих в сельской местности и городах местного значения, для приобретения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 (Приложение № 2 к настоящему Постановлению).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3.</w:t>
      </w:r>
      <w:r>
        <w:rPr>
          <w:sz w:val="24"/>
        </w:rPr>
        <w:t xml:space="preserve"> Ответственность за реализацию норм настоящего Постановления возложить на глав государственных администраций городов (районов)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4.</w:t>
      </w:r>
      <w:r>
        <w:rPr>
          <w:sz w:val="24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5.</w:t>
      </w:r>
      <w:r>
        <w:rPr>
          <w:sz w:val="24"/>
        </w:rPr>
        <w:t xml:space="preserve"> Настоящее Постановление вступает в силу со дня, следующего за днем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Исполняющий обязанности Председателя Правительства</w:t>
      </w:r>
      <w:r>
        <w:br/>
      </w:r>
      <w:r>
        <w:rPr>
          <w:b w:val="true"/>
          <w:sz w:val="24"/>
        </w:rPr>
        <w:t xml:space="preserve">Приднестровской Молдавской Республики </w:t>
      </w:r>
      <w:r>
        <w:rPr>
          <w:b w:val="true"/>
          <w:sz w:val="24"/>
        </w:rPr>
        <w:t>М.</w:t>
      </w:r>
      <w:r>
        <w:rPr>
          <w:b w:val="true"/>
          <w:sz w:val="24"/>
        </w:rPr>
        <w:t xml:space="preserve"> Парнас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16 октября 2015 г.</w:t>
      </w:r>
      <w:r>
        <w:br/>
      </w:r>
      <w:r>
        <w:rPr>
          <w:sz w:val="24"/>
        </w:rPr>
        <w:t>№ 272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1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16 октября 2015 года № 272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предоставления бюджетных кредитов молодым семьям на приобретение строительных материалов, произведенных на территории Приднестровской Молдавской Республики, для строительства домовладений, а также на приобретение жилья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порядок предоставления бюджетных кредитов (далее - бюджетных кредитов) молодым семьям в соответствии с законом Приднестровской Молдавской Республики о республиканском бюджете на соответствующий финансовый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В настоящем Положении используются следующие определения: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бюджетный кредит - форма финансирования целевых расходов граждан Приднестровской Молдавской Республики за счет местных бюджетов городов (районов) на условиях срочности, возвратности и платности;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молодая семья - семья в первые 5 (пять) лет после заключения брака при условии, что брак заключается супругами впервые и хотя бы один из них не достиг возраста 35 (тридцати пяти) лет.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Бюджетные кредиты выдаются молодым семьям на следующих условиях: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целевое назначение - приобретение молодыми семьями жилья на территории Приднестровской Молдавской Республики или строительных материалов, произведенных на территории Приднестровской Молдавской Республики, для строительства домовладений на территории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срок бюджетного кредита - до 5 (пяти)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размер процента - 1 (один) процент;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расчетный период для начисления процента - 1 (один) год;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максимальный размер предоставляемой суммы - 100 000 (сто тысяч) рублей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Правом получения бюджетного кредита может воспользоваться один из супругов молодой семьи при условии, что у обоих супругов отсутствует жилье, принадлежащее им на праве собственности в течение 3 (трех) лет, предшествующих обращению о предоставлении бюджетного кредита (за исключением комнаты в общежитии). Заемщиком может быть один из супругов: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имеющий гражданство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постоянно проживающий в пределах административно-территориальной единицы Приднестровской Молдавской Республики не менее 1 (одного) года до даты обращения о предоставлении бюджетного кредита;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имеющий постоянное место работы на территории Приднестровской Молдавской Республики не менее 1 (одного) года до даты обращения о предоставлении бюджетного кредита;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 имеющий задолженностей перед бюджетами различных уровней.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Право на получение бюджетного кредита может быть реализовано только 1 раз.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Обязательным условием предоставления бюджетного кредита является обеспечение исполнения обязательства одним из способов: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залог;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поручительство.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предоставления бюджетных кредитов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Для рассмотрения вопроса о получении бюджетного кредита один из супругов, который может быть заемщиком, обращается в государственную администрацию города (района) с заявлением с указанием суммы, целевого назначения, срока пользования, порядка погашения (ежемесячно, ежеквартально) бюджетного кредита, предлагаемого способа обеспечения исполнения обязательства. Если в качестве способа обеспечения исполнения обязательства предлагается залог, то в заявлении также указывается информация о предмете залога и залогодателе.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Одновременно с заявлением о предоставлении бюджетного кредита представляются следующие документы: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копии документов, удостоверяющих личность супругов;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копия свидетельства о регистрации брака;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справка с места работы (полное наименование организации, продолжительность работы, должность, размер среднемесячной заработной платы) одного из супругов, который может быть заемщиком;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справка органов ЗАГС о том, что брак заключен впервые;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разрешительные документы на строительство либо документы, подтверждающие участие в строительстве, в соответствии с действующим законодательством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копия договора поручительства, если способом обеспечения исполнения обязательства является поручительство; копии документов, подтверждающих права на предмет залога, если способом обеспечения исполнения обязательства является залог;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справка финансовых учреждений об отсутствии кредиторской задолженности;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к) согласие супруга (супруги) на предоставление бюджетного кредита в письменной форме.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Все копии указанных документов представляются с предъявлением оригиналов в случае, если копии не заверены нотариусом.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получения информации о молодой семье государственная администрация города (района) вправе направлять запросы в органы государственной власти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Решение о предоставлении бюджетного кредита принимается комиссией, создаваемой государственной администрацией города (района) (далее - комиссия).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Комиссия рассматривает заявление в течение 10 (десяти) рабочих дней с момента представления всех вышеуказанных документов. По результатам рассмотрения документов, оценки возможностей погашения бюджетного кредита комиссия принимает решение о предоставлении или об отказе в предоставлении бюджетного кредита. Решение комиссии оформляется протоколом заседания комиссии. В случае принятия решения о предоставлении кредита в протоколе указываются конкретные условия предоставления бюджетного кредита (срок возврата, размер предоставляемых средств, условия оплаты процентов).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отказа в предоставлении бюджетного кредита государственная администрация города (района) письменно информирует об этом заявителя с указанием причин отказа.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Основаниями отказа в предоставлении бюджетного кредита являются: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наличие в представленных документах недостоверной или искаженной информации;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не представление в адрес государственной администрации города (района) документов, указанных в частях первой и второй настоящего пункта;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повторное обращение кого-либо из супругов с заявлением о предоставлении бюджетного кредита, если ранее он был предоставлен;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несоответствие требованиям, указанным в пункте 4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Решение комиссии о предоставлении бюджетного кредита утверждается государственной администрацией города (района). Утвержденное решение является основанием для заключения кредитного договора между государственной администрацией города (района) и одним из супругов, который может быть заемщиком.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В кредитном договоре в обязательном порядке указываются целевое назначение бюджетного кредита и обязательства по целевому использованию кредитных средств в срок, не превышающий 1 (один) год со дня перечисления средств на банковский счет заемщика, срок пользования кредитом, а также порядок погашения основного долга и выплаты процентов за пользование кредитом (ежемесячно, ежеквартально), в случае нарушения заемщиком срока погашения основного долга по кредиту устанавливаются штрафные санкции в размере ставки рефинансирования центрального банка Приднестровской Молдавской Республики за каждый день просрочки.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этом по обращению заемщика срок исполнения установленных кредитным договором обязательств по целевому использованию кредитных средств, указанный в части первой настоящего пункта, который истекает в период действия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подлежит продлению на срок до 1 (одного) года с момента окончания действия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посредством внесения изменений в кредитный договор, заключенный между государственной администрацией города (района) и заемщиком.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Заемщик вправе погасить бюджетный кредит досрочно.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Выдача бюджетного кредита осуществляется в порядке очередности по дате принятия решения о предоставлении бюджетного кредита по мере поступления денежных средств.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Предоставление бюджетного кредита молодым семьям осуществляется путем перечисления денежных средств на основании кредитного договора на банковский счет заемщика.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Средства бюджетного кредита с банковского счета заемщика могут быть использованы только на цели, указанные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/>
        <w:t>4. Состав и организация работы комиссии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Для рассмотрения заявок на получение бюджетного кредита государственной администрацией города (района) формируется соответствующая комиссия в составе не менее 5 (пяти) человек. Количественный и персональный состав определяется на основании решения главы государственной администрации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Работой комиссии руководит председатель, который назначается главой государственной администрации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В обязанности председателя входит: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руководство и координация работы комиссии, созыв, утверждение повестки и проведение заседаний комиссии;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контроль за выполнением решений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В обязанности секретаря комиссии входит: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ведение журнала учета поданных заявлений о предоставлении бюджетных кредитов, фиксируя дату и время поступления документов;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осуществление анализа и систематизации поступивших заявлений, составление сводной таблицы;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оформление протоколов заседаний комиссии;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подготовка информации для публикации в средствах массовой информации и подготовка ответов заявителям о результатах рассмотрения поданных заявлений.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Необходимость проведения заседания комиссии определяется председателем.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Для принятия решения на заседании комиссии необходимо присутствие более 2/3 ее состава, включая председателя комиссии.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Результаты рассмотрения вопроса комиссией оформляются протоколом.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Голосование может быть проведено по всему протоколу в целом. В случае разногласия членов комиссии по отдельным пунктам протокола голосование проводится по каждому пункту в отдельности. При этом член комиссии, мнение которого отличается от других членов комиссии, вправе отразить свое мнение в письменном виде как приложение к протоколу.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протоколе заседания комиссии указываются: повестка дня, фамилии присутствующих членов комиссии, результаты голосования, принятые решения. Протокол подписывается всеми членами комиссии, присутствующими на заседании.</w:t>
      </w:r>
    </w:p>
    <w:p>
      <w:pPr>
        <w:jc w:val="center"/>
        <w:spacing w:lineRule="auto"/>
        <w:ind w:firstLine="480"/>
        <w:pStyle w:val="Heading2"/>
        <w:rPr/>
      </w:pPr>
      <w:r>
        <w:rPr/>
        <w:t>5. Контроль за исполнением условий кредитного договора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Контроль за исполнением условий кредитного договора осуществляется государственной администрацией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Заемщик отчитывается перед государственной администрацией города (района) о целевом использовании полученного бюджетного кредита путем представления копий договоров, платежных и товаросопроводительных документов в течение 1 (одного) месяца с момента расходования кредитных средств.</w:t>
      </w:r>
    </w:p>
    <w:p>
      <w:pPr>
        <w:jc w:val="center"/>
        <w:spacing w:lineRule="auto"/>
        <w:ind w:firstLine="480"/>
        <w:pStyle w:val="Heading2"/>
        <w:rPr/>
      </w:pPr>
      <w:r>
        <w:rPr/>
        <w:t>6.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Источником финансирования являются средства, поступившие в бюджет муниципального образования в качестве платежей по погашению бюджетных кредитов, в том числе в виде процентов по кредитам, направленным местным бюджетам городов и районов в 2009-2010 годах из республиканского бюджета посредством субсидий, а также остатки средств на счетах местных бюджетов от данных субсидий, не использованных в полном объеме в предыдущем финансовом году, направляются на повторное кредитование с учетом целевого назначения ранее выданных средств.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Государственная администрация города (района) имеет право на получение информации от заемщика об исполнении обязательств по кредитному договору.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24. Государственная администрация города (района) направляет в Совет народных депутатов города (района) информацию о проделанной работе и принятых решениях. Ежегодно государственная администрация города (района) направляет в Совет народных депутатов города (района) информацию об исполнении условий договора по каждому заемщику о кредитовании в предыдущем календарном году, что находит свое отражение в отчете главы государственной администрации города (района) об исполнении бюджета.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25. Информация о количестве и суммах бюджетных кредитов, предоставленных молодым семьям, публикуется государственной администрацией города (района) на официальном сайте, а также в средствах массовой информации.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26. Средства, полученные от заемщика в качестве платы за пользование бюджетным кредитом (проценты), зачисляются в доход местного бюджета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27. Средства, полученные от заемщика в качестве платежей по погашению бюджетного кредита, зачисляются в доход местного бюджета города (района).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2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16 октября 2015 года № 272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предоставления беспроцентных бюджетных кредитов молодым специалистам органов внутренних дел, просвещения, здравоохранения и крестьянских (фермерских) хозяйств, работающих в сельской местности и городах местного значения, для приобретения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</w:t>
      </w:r>
    </w:p>
    <w:p>
      <w:pPr>
        <w:jc w:val="center"/>
        <w:spacing w:lineRule="auto"/>
        <w:ind w:firstLine="480"/>
        <w:pStyle w:val="Heading2"/>
        <w:rPr/>
      </w:pPr>
      <w:r>
        <w:rPr/>
        <w:t>1.Общие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порядок предоставления беспроцентных бюджетных кредитов молодым специалистам органов внутренних дел, просвещения, здравоохранения и крестьянских (фермерских) хозяйств, работающих в сельской местности и городах местного значения, для приобретения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значения, который реализуется государственными администрациями городов (районов) соответствующих административно-территориальных единиц в соответствии с законом Приднестровской Молдавской Республики о республиканском бюджете на соответствующий финансовый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В настоящем Положении используются следующие определения: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беспроцентный бюджетный кредит - форма финансирования целевых расходов граждан Приднестровской Молдавской Республики за счет местных бюджетов городов (районов) на условиях срочности и возвратности;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молодой специалист - физическое лицо в течение первых 3 (трех) лет после окончания учреждения начального, среднего, высшего профессионального образования.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Беспроцентные бюджетные кредиты выдаются молодым специалистам на следующих условиях: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целевое назначение - приобретение строительных материалов отечественного производства в целях строительства нового жилья, а также на приобретение домовладений в сельской местности и городах местного значения;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срок бюджетного кредита - до 5 (пяти)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максимальный размер предоставляемой суммы - 100 000 (сто тысяч) рублей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Правом получения беспроцентного бюджетного кредита может воспользоваться молодой специалист при условии отсутствия жилья, принадлежащего ему на праве собственности в течение 3 (трех) лет, предшествующих обращению о предоставлении беспроцентного бюджетного кредита (за исключением комнаты в общежитии).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Заемщиком может быть молодой специалист: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имеющий гражданство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постоянно проживающий в пределах административно-территориальной единицы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имеющий постоянное место работы в сельской местности и городах местного значения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 имеющий задолженностей перед бюджетами различных уровней.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Право на получение беспроцентного бюджетного кредита может быть реализовано только 1 раз.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Обязательным условием предоставления беспроцентного бюджетного кредита является обеспечение исполнения обязательства одним из способов: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залог;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поручительство.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предоставления беспроцентных бюджетных кредитов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Для получения беспроцентного бюджетного кредита молодой специалист обращается в государственную администрацию города (района) с заявлением с указанием суммы, целевого назначения, срока пользования, порядка погашения (ежемесячно, ежеквартально) беспроцентного бюджетного кредита, предлагаемого способа обеспечения исполнения обязательства. Если в качестве способа обеспечения исполнения обязательства предлагается залог, то в заявлении также указывается информация о предмете залога и залогодателе.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Одновременно с заявлением о предоставлении беспроцентного бюджетного кредита молодой специалист представляет в государственную администрацию города (района) следующие документы: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копия документа, удостоверяющего личность;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копия документа об образовании, подтверждающего, что на момент подачи заявления после окончания учреждения начального, среднего, высшего профессионального образования прошло менее 3 (трех)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справка с места работы (полное наименование организации, продолжительность работы, должность, размер среднемесячной заработной платы), за исключением членов крестьянских (фермерских) хозяйств; выписка из государственного реестра индивидуальных предпринимателей о крестьянском (фермерском) хозяйстве для членов крестьянского (фермерского) хозяйства;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разрешительные документы на строительство либо документы, подтверждающие участие в строительстве, в соответствии с действующим законодательством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копия договора поручительства, если способом обеспечения исполнения обязательства является поручительство; копии документов, подтверждающих права на предмет залога, если способом обеспечения исполнения обязательства является залог;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справка финансовых учреждений об отсутствии кредиторской задолженности;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Все копии указанных документов представляются с предъявлением оригиналов в случае, если копии не заверены нотариусом.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получения информации о молодом специалисте государственная администрация города (района) вправе направлять запросы в органы государственной власти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Решение о предоставлении беспроцентного бюджетного кредита принимается комиссией, создаваемой государственной администрацией города (района) (далее - комиссия).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Комиссия рассматривает заявление в течение 10 (десяти) рабочих дней с момента представления всех указанных документов. По результатам рассмотрения документов, оценки возможностей погашения бюджетного кредита комиссия принимает решение о предоставлении или об отказе предоставления бюджетного кредита. Решение комиссии оформляется протоколом заседания комиссии. В случае принятия решения о предоставлении кредита в протоколе указываются конкретные условия предоставления бюджетного кредита (срок возврата, размер предоставляемых средств).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отказа в предоставлении бюджетного кредита государственная администрация города (района) письменно информирует об этом заявителя с указанием причин отказа.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Основаниями отказа в предоставлении беспроцентного бюджетного кредита являются: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наличие в представленных документах недостоверной или искаженной информации;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не представление в адрес государственной администрации города (района) документов, указанных в частях первой и второй настоящего пункта;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повторное обращение с заявлением о предоставлении беспроцентного бюджетного кредита, если ранее он был предоставлен;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несоответствие требованиям, указанным в пункте 4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Решение комиссии о предоставлении беспроцентного бюджетного кредита утверждается государственной администрацией города (района). Утвержденное решение является основанием для заключения кредитного договора между государственной администрацией города (района) и молодым специалистом.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В кредитном договоре в обязательном порядке указывается целевое назначение беспроцентного бюджетного кредита и обязательства по целевому использованию кредитных средств в срок, не превышающий 1 (один) год со дня перечисления средств на банковский счет заемщика, срок пользования беспроцентным бюджетным кредитом, а также порядок его погашения (ежемесячно, ежеквартально). В случае нарушении заемщиком срока погашения беспроцентного бюджетного кредита устанавливаются штрафные санкции в размере ставки рефинансирования центрального банка Приднестровской Молдавской Республики за каждый день просрочки.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Заемщик вправе погасить беспроцентный бюджетный кредит досрочно.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Выдача беспроцентного бюджетного кредита осуществляется в порядке очередности по дате принятия решения о предоставлении бюджетного кредита по мере поступления денежных средств.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Предоставление беспроцентного бюджетного кредита молодым специалистам осуществляется путем перечисления денежных средств на основании кредитного договора на банковский счет заемщика.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Средства беспроцентного бюджетного кредита с банковского счета заемщика могут быть использованы только на цели, указанные в кредитном договоре.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В случае расторжения трудового договора по собственному желанию заемщик обязан досрочно погасить оставшуюся сумму беспроцентного бюджетного кредита в течение 3 (трех) месяцев с даты увольнения.</w:t>
      </w:r>
    </w:p>
    <w:p>
      <w:pPr>
        <w:jc w:val="center"/>
        <w:spacing w:lineRule="auto"/>
        <w:ind w:firstLine="480"/>
        <w:pStyle w:val="Heading2"/>
        <w:rPr/>
      </w:pPr>
      <w:r>
        <w:rPr/>
        <w:t>4. Состав и организация работы комиссии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Для рассмотрения заявок на получение беспроцентного бюджетного кредита государственной администрацией города (района) формируется соответствующая комиссия в составе не менее 5 человек. Количественный и персональный состав определяется на основании решения главы государственной администрации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Работой комиссии руководит председатель, который назначается главой государственной администрации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В обязанности председателя входит: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руководство и координация работы комиссии, созыв, утверждение повестки и проведение заседаний комиссии;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контроль выполнения решений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В обязанности секретаря комиссии входит: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ведение журнала учета поданных заявлений о предоставлении бюджетных кредитов, фиксируя дату и время поступления документов;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осуществление анализа и систематизации поступивших заявок, составление сводной таблицы;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оформление протоколов заседаний комиссии;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подготовка информации для публикации в средствах массовой информации и подготовка ответов заявителям о результатах рассмотрения поданных заявлений.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Необходимость проведения заседания комиссии определяется председателем.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Для принятия решения на заседании комиссии необходимо присутствие более 2/3 ее состава, включая председателя комиссии.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Результаты рассмотрения вопроса комиссией оформляются протоколом.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Голосование может быть проведено по всему протоколу в целом. В случае разногласия членов комиссии по отдельным пунктам протокола голосование проводится по каждому пункту в отдельности. При этом член комиссии, мнение которого отличается от других членов комиссии, вправе отразить свое мнение в письменном виде как приложение к протоколу. В протоколе заседания комиссии указываются: повестка дня, фамилии присутствующих членов комиссии, результаты голосования, принятые решения. Протокол подписывается всеми членами комиссии, присутствующими на заседании.</w:t>
      </w:r>
    </w:p>
    <w:p>
      <w:pPr>
        <w:jc w:val="center"/>
        <w:spacing w:lineRule="auto"/>
        <w:ind w:firstLine="480"/>
        <w:pStyle w:val="Heading2"/>
        <w:rPr/>
      </w:pPr>
      <w:r>
        <w:rPr/>
        <w:t>5. Контроль за исполнением условий кредитного договора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Контроль за надлежащим исполнением условий кредитного договора осуществляется государственной администрацией города (района).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Заемщик отчитывается перед государственной администрацией города (района) о целевом использовании полученного беспроцентного бюджетного кредита путем представления копий договоров, платежных и товаросопроводительных документов в течение 1 (одного) месяца с момента расходования кредитных средств.</w:t>
      </w:r>
    </w:p>
    <w:p>
      <w:pPr>
        <w:jc w:val="center"/>
        <w:spacing w:lineRule="auto"/>
        <w:ind w:firstLine="480"/>
        <w:pStyle w:val="Heading2"/>
        <w:rPr/>
      </w:pPr>
      <w:r>
        <w:rPr/>
        <w:t>6.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Источником финансирования являются средства, поступившие в бюджет муниципального образования в качестве платежей по погашению бюджетных кредитов, направленных местным бюджетам городов и районов в 2009-2010 годах из республиканского бюджета посредством субсидий, а также остатки средств на счетах местных бюджетов от данных субсидий, не использованных в полном объеме в предыдущем году, направляются на повторное кредитование с учетом целевого назначения ранее выданных средств.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Государственная администрация города (района) имеет право на получение информации от заемщика об исполнении обязательств по кредитному договору.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24. Государственная администрация города (района) направляет в Совет народных депутатов города (района) информацию о проделанной работе и принятых решениях. Ежегодно государственная администрация города (района) направляет в Совет народных депутатов города (района) информацию об исполнении условий договора по каждому заемщику о кредитовании в предыдущем календарном году, что находит свое отражение в отчете главы государственной администрации города (района) об исполнении бюджета.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25. Информация о количестве и суммах кредитов, предоставленных молодым специалистам, публикуется государственной администрацией города (района) на официальном сайте, в средствах массовой информации.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26. Средства, полученные от заемщика при погашении бюджетного кредита, зачисляются в доход местного бюджета города (района).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