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06" w:rsidRPr="000D740F" w:rsidRDefault="00925406" w:rsidP="000D7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740F">
        <w:rPr>
          <w:rFonts w:ascii="Times New Roman" w:hAnsi="Times New Roman" w:cs="Times New Roman"/>
          <w:sz w:val="24"/>
          <w:szCs w:val="24"/>
        </w:rPr>
        <w:t>СРАВНИТЕЛЬНАЯ ТАБЛИЦА</w:t>
      </w:r>
    </w:p>
    <w:p w:rsidR="00C42F19" w:rsidRDefault="0073753D" w:rsidP="000D7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2F19">
        <w:rPr>
          <w:rFonts w:ascii="Times New Roman" w:hAnsi="Times New Roman" w:cs="Times New Roman"/>
          <w:sz w:val="24"/>
          <w:szCs w:val="24"/>
        </w:rPr>
        <w:t>к</w:t>
      </w:r>
      <w:r w:rsidR="00925406" w:rsidRPr="00C42F19">
        <w:rPr>
          <w:rFonts w:ascii="Times New Roman" w:hAnsi="Times New Roman" w:cs="Times New Roman"/>
          <w:sz w:val="24"/>
          <w:szCs w:val="24"/>
        </w:rPr>
        <w:t xml:space="preserve"> проекту </w:t>
      </w:r>
      <w:r w:rsidRPr="00C42F19">
        <w:rPr>
          <w:rFonts w:ascii="Times New Roman" w:hAnsi="Times New Roman" w:cs="Times New Roman"/>
          <w:sz w:val="24"/>
          <w:szCs w:val="24"/>
        </w:rPr>
        <w:t>з</w:t>
      </w:r>
      <w:r w:rsidR="00925406" w:rsidRPr="00C42F19">
        <w:rPr>
          <w:rFonts w:ascii="Times New Roman" w:hAnsi="Times New Roman" w:cs="Times New Roman"/>
          <w:sz w:val="24"/>
          <w:szCs w:val="24"/>
        </w:rPr>
        <w:t>акона</w:t>
      </w:r>
      <w:r w:rsidR="00925406" w:rsidRPr="000D740F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C42F19" w:rsidRDefault="00925406" w:rsidP="000D7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740F">
        <w:rPr>
          <w:rFonts w:ascii="Times New Roman" w:hAnsi="Times New Roman" w:cs="Times New Roman"/>
          <w:sz w:val="24"/>
          <w:szCs w:val="24"/>
        </w:rPr>
        <w:t xml:space="preserve">«О внесении изменений в Закон Приднестровской Молдавской Республики </w:t>
      </w:r>
    </w:p>
    <w:p w:rsidR="00925406" w:rsidRDefault="00925406" w:rsidP="000D7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740F">
        <w:rPr>
          <w:rFonts w:ascii="Times New Roman" w:hAnsi="Times New Roman" w:cs="Times New Roman"/>
          <w:sz w:val="24"/>
          <w:szCs w:val="24"/>
        </w:rPr>
        <w:t>«О республиканском бюджете на 2018 год»</w:t>
      </w:r>
    </w:p>
    <w:p w:rsidR="0055097D" w:rsidRPr="000D740F" w:rsidRDefault="0055097D" w:rsidP="000D7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925406" w:rsidRPr="000D740F" w:rsidRDefault="00925406" w:rsidP="000D7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7223"/>
        <w:gridCol w:w="7796"/>
      </w:tblGrid>
      <w:tr w:rsidR="00925406" w:rsidRPr="000D740F" w:rsidTr="00694C43">
        <w:tc>
          <w:tcPr>
            <w:tcW w:w="540" w:type="dxa"/>
          </w:tcPr>
          <w:p w:rsidR="00925406" w:rsidRPr="000D740F" w:rsidRDefault="00925406" w:rsidP="000D7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3" w:type="dxa"/>
            <w:vAlign w:val="center"/>
          </w:tcPr>
          <w:p w:rsidR="00925406" w:rsidRPr="000D740F" w:rsidRDefault="00925406" w:rsidP="000D7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7796" w:type="dxa"/>
            <w:vAlign w:val="center"/>
          </w:tcPr>
          <w:p w:rsidR="00925406" w:rsidRPr="000D740F" w:rsidRDefault="00925406" w:rsidP="000D7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Предлагаемая редакция</w:t>
            </w:r>
          </w:p>
        </w:tc>
      </w:tr>
      <w:tr w:rsidR="00925406" w:rsidRPr="000D740F" w:rsidTr="00694C43">
        <w:tc>
          <w:tcPr>
            <w:tcW w:w="540" w:type="dxa"/>
          </w:tcPr>
          <w:p w:rsidR="00925406" w:rsidRPr="000D740F" w:rsidRDefault="000D740F" w:rsidP="000D7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3" w:type="dxa"/>
          </w:tcPr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Подпункт е) пункт 1 статьи 49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е) для пенсионеров по возрасту, не пользующихся льготами по плате за услуги электроснабжения, теплоснабжения, водоснабжения и водоотведения (канализации) в соответствии с действующим законодательством Приднестровской Молдавской Республики, коэффициент к предельным тарифам применяется в размере: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1) за услуги электроснабжения – 0,75;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2) за услуги теплоснабжения – 0,75;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3) за услуги водоснабжения и водоотведения (канализации) – 0,5;</w:t>
            </w:r>
          </w:p>
        </w:tc>
        <w:tc>
          <w:tcPr>
            <w:tcW w:w="7796" w:type="dxa"/>
          </w:tcPr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Подпункт е) пункт 1 статьи 49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е) для пенсионеров по возрасту, не пользующихся льготами по плате за услуги электроснабжения, теплоснабжения, водоснабжения и водоотведения (канализации), </w:t>
            </w:r>
            <w:r w:rsidRPr="000D740F">
              <w:rPr>
                <w:rFonts w:ascii="Times New Roman" w:hAnsi="Times New Roman" w:cs="Times New Roman"/>
                <w:b/>
                <w:sz w:val="24"/>
                <w:szCs w:val="24"/>
              </w:rPr>
              <w:t>газоснабжения</w:t>
            </w: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действующим законодательством Приднестровской Молдавской Республики, коэффициент к предельным тарифам применяется в размере: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1) за услуги электроснабжения – 0,75;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2) за услуги теплоснабжения – 0,75;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3) за услуги водоснабжения и водоотведения (канализации) – 0,5; 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b/>
                <w:sz w:val="24"/>
                <w:szCs w:val="24"/>
              </w:rPr>
              <w:t>4) за природный газ – 0,75;</w:t>
            </w:r>
          </w:p>
        </w:tc>
      </w:tr>
      <w:tr w:rsidR="00925406" w:rsidRPr="000D740F" w:rsidTr="00694C43">
        <w:tc>
          <w:tcPr>
            <w:tcW w:w="540" w:type="dxa"/>
          </w:tcPr>
          <w:p w:rsidR="00925406" w:rsidRPr="000D740F" w:rsidRDefault="00925406" w:rsidP="000D7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3" w:type="dxa"/>
          </w:tcPr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Подпункт ж) пункт 1 статьи 49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ж) для пенсионеров по возрасту, не пользующихся льготами по плате за услуги электроснабжения, теплоснабжения, водоснабжения и водоотведения (канализации) в соответствии с действующим законодательством Приднестровской Молдавской Республики, не работающих и одиноко проживающих, для неработающих пенсионеров, совместно проживающих в жилых помещениях (квартире, комнате, комнатах) или в жилых домах в составе семьи, состоящей только из пенсионеров по возрасту и неработающих (не осуществляющих индивидуальную</w:t>
            </w:r>
            <w:proofErr w:type="gramEnd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предпринимательскую деятельность) инвалидов I или II группы, независимо от возраста инвалида, а также для пенсионеров по возрасту, имеющих на своем содержании иждивенцев, не </w:t>
            </w:r>
            <w:r w:rsidRPr="000D7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пользующихся льготами по плате за услуги электроснабжения, теплоснабжения, водоснабжения и водоотведения (канализации) в соответствии с действующим законодательством Приднестровской Молдавской Республики, коэффициент к предельным тарифам применяется в размере: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1) за услуги электроснабжения – 0,5;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2) за услуги теплоснабжения – 0,5;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3) за услуги водоснабжения и водоотведения (канализации) – 0,5;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Подпункт ж) пункт 1 статьи 49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ж) для пенсионеров по возрасту, не пользующихся льготами по плате за услуги электроснабжения, теплоснабжения, водоснабжения и водоотведения (канализации), </w:t>
            </w:r>
            <w:r w:rsidRPr="000D740F">
              <w:rPr>
                <w:rFonts w:ascii="Times New Roman" w:hAnsi="Times New Roman" w:cs="Times New Roman"/>
                <w:b/>
                <w:sz w:val="24"/>
                <w:szCs w:val="24"/>
              </w:rPr>
              <w:t>газоснабжения</w:t>
            </w: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действующим законодательством Приднестровской Молдавской Республики, не работающих и одиноко проживающих, для неработающих пенсионеров, совместно проживающих в жилых помещениях (квартире, комнате, комнатах) или в жилых домах в составе семьи, состоящей только из пенсионеров по возрасту и неработающих (не осуществляющих</w:t>
            </w:r>
            <w:proofErr w:type="gramEnd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индивидуальную предпринимательскую деятельность) инвалидов I или II группы, независимо от возраста инвалида, а также для пенсионеров по возрасту, имеющих на своем содержании иждивенцев, не пользующихся льготами по плате за услуги </w:t>
            </w:r>
            <w:r w:rsidRPr="000D7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электроснабжения, теплоснабжения, водоснабжения и водоотведения (канализации), </w:t>
            </w:r>
            <w:r w:rsidRPr="000D740F">
              <w:rPr>
                <w:rFonts w:ascii="Times New Roman" w:hAnsi="Times New Roman" w:cs="Times New Roman"/>
                <w:b/>
                <w:sz w:val="24"/>
                <w:szCs w:val="24"/>
              </w:rPr>
              <w:t>газоснабжения</w:t>
            </w: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действующим законодательством Приднестровской Молдавской Республики, коэффициент к предельным тарифам применяется в размере:</w:t>
            </w:r>
            <w:proofErr w:type="gramEnd"/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1) за услуги электроснабжения – 0,5;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2) за услуги теплоснабжения – 0,5;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3) за услуги водоснабжения и водоотведения (канализации) – 0,5;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b/>
                <w:sz w:val="24"/>
                <w:szCs w:val="24"/>
              </w:rPr>
              <w:t>4) за природный газ – 0,5;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06" w:rsidRPr="000D740F" w:rsidTr="00694C43">
        <w:tc>
          <w:tcPr>
            <w:tcW w:w="540" w:type="dxa"/>
          </w:tcPr>
          <w:p w:rsidR="00925406" w:rsidRPr="000D740F" w:rsidRDefault="000D740F" w:rsidP="000D7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223" w:type="dxa"/>
          </w:tcPr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Подпункт и) пункт 1 статьи 49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D74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 xml:space="preserve"> для каждого физического лица, имеющего право на льготы по оплате услуг газоснабжения в соответствии с действующим законодательством Приднестровской Молдавской Республики, а также для физических лиц, определенных подпунктами е) и ж) части первой настоящего пункта, установить льготу по плате за природный газ, потребленный в пределах установленной Правительством Приднестровской Молдавской Республики социальной нормы, в размере 100 процентов.</w:t>
            </w:r>
            <w:proofErr w:type="gramEnd"/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При этом данная льгота предоставляется исключительно в случае ежемесячного заявления бытовым потребителем (абонентом) объемов потребленного природного газа за отчетный период (прошедший месяц) в газоснабжающую организацию либо в организации, осуществляющие прием платежей, за потребленный природный газ за отчетный период (прошедший месяц) до последнего числа текущего месяца.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40F">
              <w:rPr>
                <w:rFonts w:ascii="Times New Roman" w:hAnsi="Times New Roman" w:cs="Times New Roman"/>
                <w:sz w:val="24"/>
                <w:szCs w:val="24"/>
              </w:rPr>
              <w:t>Подпункт и) пункт 1 статьи 49</w:t>
            </w:r>
          </w:p>
          <w:p w:rsidR="00925406" w:rsidRPr="000D740F" w:rsidRDefault="00925406" w:rsidP="00786FFB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09D" w:rsidRPr="00C21D2D" w:rsidRDefault="000D740F" w:rsidP="00E0409D">
            <w:pPr>
              <w:pStyle w:val="3"/>
              <w:shd w:val="clear" w:color="auto" w:fill="auto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 </w:t>
            </w:r>
            <w:r w:rsidR="00E0409D" w:rsidRPr="00C21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цели отопления жилых помещений от индивидуальных приборов теплоснабжения при наличии приборов учета газа (в течение отопительного сезона) где прописано </w:t>
            </w:r>
            <w:r w:rsidR="00E040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E040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зарегестрировано</w:t>
            </w:r>
            <w:proofErr w:type="spellEnd"/>
            <w:r w:rsidR="00E040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0409D" w:rsidRPr="00C21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хотя бы одно физическое лицо, имеющее право на льготы по оплате услуг газоснабжения в соответствии с действующим законодательством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Приднестровской Молдавской Республики, а также для физических лиц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определенных 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подпункта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е) и ж) части первой настоящего пункта, установить льготу</w:t>
            </w:r>
            <w:proofErr w:type="gramEnd"/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размере 100 %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плате за природный газ в объёме 167</w:t>
            </w:r>
            <w:r w:rsidR="00E0409D" w:rsidRPr="00C42F19">
              <w:rPr>
                <w:rStyle w:val="a4"/>
                <w:rFonts w:eastAsia="Lucida Sans Unicode"/>
                <w:color w:val="000000" w:themeColor="text1"/>
                <w:sz w:val="24"/>
                <w:szCs w:val="24"/>
              </w:rPr>
              <w:t xml:space="preserve">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куб.м. в месяц, потребленный </w:t>
            </w:r>
            <w:r w:rsidR="00E0409D" w:rsidRPr="00C42F19">
              <w:rPr>
                <w:rStyle w:val="a4"/>
                <w:rFonts w:eastAsia="Lucida Sans Unicode"/>
                <w:color w:val="000000" w:themeColor="text1"/>
                <w:sz w:val="24"/>
                <w:szCs w:val="24"/>
              </w:rPr>
              <w:t>на цели отопления в отопительный период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Льгота устанавливается на 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одно жилое помещение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наличии индивидуальных приборов теплоснабжения в отопительный период 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 зависимости от количества совместно прописанных (</w:t>
            </w:r>
            <w:proofErr w:type="spellStart"/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зарегестрированых</w:t>
            </w:r>
            <w:proofErr w:type="spellEnd"/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указанными категориями граждан 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 и наличия у них прав</w:t>
            </w:r>
            <w:r w:rsidR="00C42F19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льготы по оплате услуг газоснабжения.</w:t>
            </w:r>
          </w:p>
          <w:p w:rsidR="00E0409D" w:rsidRPr="00C42F19" w:rsidRDefault="00E0409D" w:rsidP="0073753D">
            <w:pPr>
              <w:pStyle w:val="3"/>
              <w:shd w:val="clear" w:color="auto" w:fill="auto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Разница между фактически потребленным природным газом и 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объемом, в пределах которого устанавливается льгота, указанная в части первой настоящего подпункта, </w:t>
            </w: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оплачивается в пределах социальных норм. При объеме потребления природного газа меньше 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объема, в пределах которого устанавливается льгота, указанная в части первой настоящего подпункта, </w:t>
            </w: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льгота предост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авляется в объеме фактического </w:t>
            </w: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расхода.</w:t>
            </w:r>
          </w:p>
          <w:p w:rsidR="00E0409D" w:rsidRPr="00C42F19" w:rsidRDefault="0073753D" w:rsidP="0073753D">
            <w:pPr>
              <w:pStyle w:val="3"/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Льгота, указанная в части первой настоящего подпункта, </w:t>
            </w:r>
            <w:r w:rsidR="00E0409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устанавливается на соответствующий месяц и не переносится на следующие месяцы потребления.</w:t>
            </w:r>
          </w:p>
          <w:p w:rsidR="00E0409D" w:rsidRPr="00C42F19" w:rsidRDefault="00E0409D" w:rsidP="0073753D">
            <w:pPr>
              <w:pStyle w:val="3"/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начале, либо окончании отопительного сезона в т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ечение отчетного месяца, льгота, указанная в части первой настоящего подпункта, </w:t>
            </w: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предоставляется пропорционально количеству дней отопительного периода.</w:t>
            </w:r>
          </w:p>
          <w:p w:rsidR="000D740F" w:rsidRPr="0073753D" w:rsidRDefault="00E0409D" w:rsidP="00C42F19">
            <w:pPr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этом</w:t>
            </w:r>
            <w:proofErr w:type="gramStart"/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льгота</w:t>
            </w:r>
            <w:r w:rsidR="0073753D"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указанная в части первой настоящего подпункта,</w:t>
            </w:r>
            <w:r w:rsidRPr="00C42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предоставляются исключительно в случае ежемесячного заявления</w:t>
            </w:r>
            <w:r w:rsidRPr="00C21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бытовым потребителем (абонентом) объемов потребленного природного газа за отчетный период (прошедший месяц) в газоснабжающую организацию либо в организации, осуществляющие прием платежей, за потребленный природный газ за отчетный период (прошедший месяц) до последнего числа текущего месяца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25406" w:rsidRPr="000D740F" w:rsidRDefault="00925406" w:rsidP="000D7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406" w:rsidRPr="000D740F" w:rsidSect="00694C43">
      <w:headerReference w:type="default" r:id="rId6"/>
      <w:pgSz w:w="16838" w:h="11906" w:orient="landscape"/>
      <w:pgMar w:top="1701" w:right="567" w:bottom="567" w:left="567" w:header="709" w:footer="709" w:gutter="0"/>
      <w:pgNumType w:fmt="numberInDash"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C7C" w:rsidRDefault="00E82C7C" w:rsidP="00694C43">
      <w:pPr>
        <w:spacing w:after="0" w:line="240" w:lineRule="auto"/>
      </w:pPr>
      <w:r>
        <w:separator/>
      </w:r>
    </w:p>
  </w:endnote>
  <w:endnote w:type="continuationSeparator" w:id="0">
    <w:p w:rsidR="00E82C7C" w:rsidRDefault="00E82C7C" w:rsidP="00694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C7C" w:rsidRDefault="00E82C7C" w:rsidP="00694C43">
      <w:pPr>
        <w:spacing w:after="0" w:line="240" w:lineRule="auto"/>
      </w:pPr>
      <w:r>
        <w:separator/>
      </w:r>
    </w:p>
  </w:footnote>
  <w:footnote w:type="continuationSeparator" w:id="0">
    <w:p w:rsidR="00E82C7C" w:rsidRDefault="00E82C7C" w:rsidP="00694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2469"/>
      <w:docPartObj>
        <w:docPartGallery w:val="Page Numbers (Top of Page)"/>
        <w:docPartUnique/>
      </w:docPartObj>
    </w:sdtPr>
    <w:sdtContent>
      <w:p w:rsidR="00694C43" w:rsidRDefault="00694C43">
        <w:pPr>
          <w:pStyle w:val="a5"/>
          <w:jc w:val="center"/>
        </w:pPr>
        <w:fldSimple w:instr=" PAGE   \* MERGEFORMAT ">
          <w:r>
            <w:rPr>
              <w:noProof/>
            </w:rPr>
            <w:t>- 10 -</w:t>
          </w:r>
        </w:fldSimple>
      </w:p>
    </w:sdtContent>
  </w:sdt>
  <w:p w:rsidR="00694C43" w:rsidRDefault="00694C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25406"/>
    <w:rsid w:val="000D740F"/>
    <w:rsid w:val="0016196B"/>
    <w:rsid w:val="003F0F36"/>
    <w:rsid w:val="005049A4"/>
    <w:rsid w:val="0055097D"/>
    <w:rsid w:val="00555D54"/>
    <w:rsid w:val="00694C43"/>
    <w:rsid w:val="0073753D"/>
    <w:rsid w:val="00786FFB"/>
    <w:rsid w:val="00925406"/>
    <w:rsid w:val="00C42F19"/>
    <w:rsid w:val="00DA1A3D"/>
    <w:rsid w:val="00E0409D"/>
    <w:rsid w:val="00E82C7C"/>
    <w:rsid w:val="00F44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4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uiPriority w:val="99"/>
    <w:rsid w:val="00E0409D"/>
    <w:pPr>
      <w:widowControl w:val="0"/>
      <w:shd w:val="clear" w:color="auto" w:fill="FFFFFF"/>
      <w:spacing w:after="120" w:line="269" w:lineRule="exact"/>
      <w:jc w:val="center"/>
    </w:pPr>
    <w:rPr>
      <w:rFonts w:ascii="Lucida Sans Unicode" w:eastAsia="Lucida Sans Unicode" w:hAnsi="Lucida Sans Unicode" w:cs="Lucida Sans Unicode"/>
      <w:color w:val="000000"/>
      <w:sz w:val="20"/>
      <w:szCs w:val="20"/>
    </w:rPr>
  </w:style>
  <w:style w:type="character" w:customStyle="1" w:styleId="a4">
    <w:name w:val="Основной текст + Полужирный"/>
    <w:basedOn w:val="a0"/>
    <w:rsid w:val="00E040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694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4C43"/>
  </w:style>
  <w:style w:type="paragraph" w:styleId="a7">
    <w:name w:val="footer"/>
    <w:basedOn w:val="a"/>
    <w:link w:val="a8"/>
    <w:uiPriority w:val="99"/>
    <w:semiHidden/>
    <w:unhideWhenUsed/>
    <w:rsid w:val="00694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4C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agbash</dc:creator>
  <cp:keywords/>
  <dc:description/>
  <cp:lastModifiedBy>arefieva_ts</cp:lastModifiedBy>
  <cp:revision>10</cp:revision>
  <dcterms:created xsi:type="dcterms:W3CDTF">2018-04-10T11:23:00Z</dcterms:created>
  <dcterms:modified xsi:type="dcterms:W3CDTF">2018-06-14T11:03:00Z</dcterms:modified>
</cp:coreProperties>
</file>