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D37" w:rsidRDefault="003D4D37" w:rsidP="003D4D37">
      <w:pPr>
        <w:spacing w:after="0" w:line="240" w:lineRule="auto"/>
        <w:jc w:val="center"/>
        <w:rPr>
          <w:rFonts w:ascii="Times New Roman" w:hAnsi="Times New Roman" w:cs="Times New Roman"/>
          <w:sz w:val="24"/>
        </w:rPr>
      </w:pPr>
      <w:r>
        <w:rPr>
          <w:rFonts w:ascii="Times New Roman" w:hAnsi="Times New Roman" w:cs="Times New Roman"/>
          <w:sz w:val="24"/>
        </w:rPr>
        <w:t>Сравнительная таблица</w:t>
      </w:r>
    </w:p>
    <w:p w:rsidR="003D4D37" w:rsidRDefault="003D4D37" w:rsidP="003D4D37">
      <w:pPr>
        <w:spacing w:after="0" w:line="240" w:lineRule="auto"/>
        <w:jc w:val="center"/>
        <w:rPr>
          <w:rFonts w:ascii="Times New Roman" w:hAnsi="Times New Roman" w:cs="Times New Roman"/>
          <w:sz w:val="24"/>
          <w:szCs w:val="24"/>
        </w:rPr>
      </w:pPr>
      <w:r>
        <w:rPr>
          <w:rFonts w:ascii="Times New Roman" w:hAnsi="Times New Roman" w:cs="Times New Roman"/>
          <w:sz w:val="24"/>
        </w:rPr>
        <w:t>к проекту закона Приднестровской Молдавской Республики «</w:t>
      </w:r>
      <w:r>
        <w:rPr>
          <w:rFonts w:ascii="Times New Roman" w:hAnsi="Times New Roman" w:cs="Times New Roman"/>
          <w:sz w:val="24"/>
          <w:szCs w:val="24"/>
        </w:rPr>
        <w:t xml:space="preserve">О внесении изменения и дополнений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
    <w:p w:rsidR="003D4D37" w:rsidRDefault="003D4D37" w:rsidP="003D4D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Приднестровской Молдавской Республики </w:t>
      </w:r>
      <w:r>
        <w:rPr>
          <w:rFonts w:ascii="Times New Roman" w:hAnsi="Times New Roman" w:cs="Times New Roman"/>
          <w:sz w:val="24"/>
        </w:rPr>
        <w:t>«О едином социальном налоге»</w:t>
      </w:r>
    </w:p>
    <w:p w:rsidR="003D4D37" w:rsidRDefault="003D4D37" w:rsidP="003D4D37">
      <w:pPr>
        <w:spacing w:after="0" w:line="240" w:lineRule="auto"/>
        <w:jc w:val="center"/>
        <w:rPr>
          <w:rFonts w:ascii="Times New Roman" w:hAnsi="Times New Roman" w:cs="Times New Roman"/>
          <w:sz w:val="24"/>
        </w:rPr>
      </w:pPr>
    </w:p>
    <w:tbl>
      <w:tblPr>
        <w:tblW w:w="4849"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07"/>
        <w:gridCol w:w="7732"/>
      </w:tblGrid>
      <w:tr w:rsidR="003D4D37" w:rsidTr="003D4D37">
        <w:trPr>
          <w:trHeight w:val="103"/>
          <w:tblHeader/>
        </w:trPr>
        <w:tc>
          <w:tcPr>
            <w:tcW w:w="2496" w:type="pct"/>
            <w:tcBorders>
              <w:top w:val="single" w:sz="4" w:space="0" w:color="000000"/>
              <w:left w:val="single" w:sz="4" w:space="0" w:color="000000"/>
              <w:bottom w:val="single" w:sz="4" w:space="0" w:color="000000"/>
              <w:right w:val="single" w:sz="4" w:space="0" w:color="000000"/>
            </w:tcBorders>
            <w:hideMark/>
          </w:tcPr>
          <w:p w:rsidR="003D4D37" w:rsidRDefault="003D4D37">
            <w:pPr>
              <w:spacing w:after="0" w:line="240" w:lineRule="auto"/>
              <w:ind w:hanging="108"/>
              <w:jc w:val="center"/>
              <w:rPr>
                <w:rFonts w:ascii="Times New Roman" w:hAnsi="Times New Roman" w:cs="Times New Roman"/>
                <w:sz w:val="24"/>
              </w:rPr>
            </w:pPr>
            <w:r>
              <w:rPr>
                <w:rFonts w:ascii="Times New Roman" w:hAnsi="Times New Roman" w:cs="Times New Roman"/>
                <w:sz w:val="24"/>
              </w:rPr>
              <w:t>Действующая редакция</w:t>
            </w:r>
          </w:p>
        </w:tc>
        <w:tc>
          <w:tcPr>
            <w:tcW w:w="2504" w:type="pct"/>
            <w:tcBorders>
              <w:top w:val="single" w:sz="4" w:space="0" w:color="000000"/>
              <w:left w:val="single" w:sz="4" w:space="0" w:color="000000"/>
              <w:bottom w:val="single" w:sz="4" w:space="0" w:color="000000"/>
              <w:right w:val="single" w:sz="4" w:space="0" w:color="000000"/>
            </w:tcBorders>
            <w:hideMark/>
          </w:tcPr>
          <w:p w:rsidR="003D4D37" w:rsidRDefault="003D4D37">
            <w:pPr>
              <w:spacing w:after="0" w:line="240" w:lineRule="auto"/>
              <w:ind w:firstLine="33"/>
              <w:jc w:val="center"/>
              <w:rPr>
                <w:rFonts w:ascii="Times New Roman" w:hAnsi="Times New Roman" w:cs="Times New Roman"/>
                <w:sz w:val="24"/>
              </w:rPr>
            </w:pPr>
            <w:r>
              <w:rPr>
                <w:rFonts w:ascii="Times New Roman" w:hAnsi="Times New Roman" w:cs="Times New Roman"/>
                <w:sz w:val="24"/>
              </w:rPr>
              <w:t>Предлагаемая редакция</w:t>
            </w:r>
          </w:p>
        </w:tc>
      </w:tr>
      <w:tr w:rsidR="003D4D37" w:rsidTr="003D4D37">
        <w:trPr>
          <w:trHeight w:val="1026"/>
        </w:trPr>
        <w:tc>
          <w:tcPr>
            <w:tcW w:w="2496" w:type="pct"/>
            <w:tcBorders>
              <w:top w:val="single" w:sz="4" w:space="0" w:color="000000"/>
              <w:left w:val="single" w:sz="4" w:space="0" w:color="000000"/>
              <w:bottom w:val="single" w:sz="4" w:space="0" w:color="auto"/>
              <w:right w:val="single" w:sz="4" w:space="0" w:color="000000"/>
            </w:tcBorders>
          </w:tcPr>
          <w:p w:rsidR="003D4D37" w:rsidRDefault="003D4D37" w:rsidP="003A5FED">
            <w:pPr>
              <w:spacing w:after="0" w:line="240" w:lineRule="auto"/>
              <w:ind w:firstLine="318"/>
              <w:rPr>
                <w:rFonts w:ascii="Times New Roman" w:hAnsi="Times New Roman" w:cs="Times New Roman"/>
                <w:sz w:val="24"/>
              </w:rPr>
            </w:pPr>
          </w:p>
          <w:p w:rsidR="003D4D37" w:rsidRDefault="003D4D37" w:rsidP="003A5FED">
            <w:pPr>
              <w:pStyle w:val="a3"/>
              <w:jc w:val="center"/>
              <w:rPr>
                <w:rFonts w:ascii="Times New Roman" w:hAnsi="Times New Roman"/>
                <w:sz w:val="24"/>
                <w:szCs w:val="24"/>
              </w:rPr>
            </w:pPr>
            <w:r>
              <w:rPr>
                <w:rFonts w:ascii="Times New Roman" w:hAnsi="Times New Roman"/>
                <w:sz w:val="24"/>
                <w:szCs w:val="24"/>
              </w:rPr>
              <w:t>ЗАКОН</w:t>
            </w:r>
          </w:p>
          <w:p w:rsidR="003D4D37" w:rsidRDefault="003D4D37" w:rsidP="003A5FED">
            <w:pPr>
              <w:pStyle w:val="a3"/>
              <w:jc w:val="center"/>
              <w:rPr>
                <w:rFonts w:ascii="Times New Roman" w:hAnsi="Times New Roman"/>
                <w:sz w:val="24"/>
                <w:szCs w:val="24"/>
              </w:rPr>
            </w:pPr>
            <w:r>
              <w:rPr>
                <w:rFonts w:ascii="Times New Roman" w:hAnsi="Times New Roman"/>
                <w:sz w:val="24"/>
                <w:szCs w:val="24"/>
              </w:rPr>
              <w:t>Приднестровской Молдавской Республики</w:t>
            </w:r>
          </w:p>
          <w:p w:rsidR="003D4D37" w:rsidRDefault="003D4D37" w:rsidP="003A5FED">
            <w:pPr>
              <w:tabs>
                <w:tab w:val="left" w:pos="4697"/>
              </w:tabs>
              <w:spacing w:after="0" w:line="240" w:lineRule="auto"/>
              <w:ind w:firstLine="318"/>
              <w:jc w:val="center"/>
              <w:rPr>
                <w:rFonts w:ascii="Times New Roman" w:hAnsi="Times New Roman" w:cs="Times New Roman"/>
                <w:sz w:val="24"/>
                <w:szCs w:val="24"/>
              </w:rPr>
            </w:pPr>
            <w:r>
              <w:rPr>
                <w:rFonts w:ascii="Times New Roman" w:hAnsi="Times New Roman"/>
                <w:sz w:val="24"/>
                <w:szCs w:val="24"/>
              </w:rPr>
              <w:t>«</w:t>
            </w:r>
            <w:r>
              <w:rPr>
                <w:rFonts w:ascii="Times New Roman" w:eastAsia="Times New Roman" w:hAnsi="Times New Roman" w:cs="Times New Roman"/>
                <w:sz w:val="24"/>
                <w:szCs w:val="24"/>
              </w:rPr>
              <w:t>О едином социальном налоге</w:t>
            </w:r>
            <w:r>
              <w:rPr>
                <w:rFonts w:ascii="Times New Roman" w:hAnsi="Times New Roman"/>
                <w:sz w:val="24"/>
                <w:szCs w:val="24"/>
              </w:rPr>
              <w:t>»</w:t>
            </w:r>
          </w:p>
          <w:p w:rsidR="003D4D37" w:rsidRDefault="003D4D37" w:rsidP="003A5FED">
            <w:pPr>
              <w:spacing w:after="0" w:line="240" w:lineRule="auto"/>
              <w:jc w:val="both"/>
              <w:rPr>
                <w:rFonts w:ascii="Times New Roman" w:hAnsi="Times New Roman" w:cs="Times New Roman"/>
                <w:sz w:val="24"/>
              </w:rPr>
            </w:pPr>
          </w:p>
        </w:tc>
        <w:tc>
          <w:tcPr>
            <w:tcW w:w="2504" w:type="pct"/>
            <w:tcBorders>
              <w:top w:val="single" w:sz="4" w:space="0" w:color="000000"/>
              <w:left w:val="single" w:sz="4" w:space="0" w:color="000000"/>
              <w:bottom w:val="single" w:sz="4" w:space="0" w:color="auto"/>
              <w:right w:val="single" w:sz="4" w:space="0" w:color="000000"/>
            </w:tcBorders>
          </w:tcPr>
          <w:p w:rsidR="003D4D37" w:rsidRDefault="003D4D37" w:rsidP="003A5FED">
            <w:pPr>
              <w:spacing w:after="0" w:line="240" w:lineRule="auto"/>
              <w:ind w:firstLine="318"/>
              <w:rPr>
                <w:rFonts w:ascii="Times New Roman" w:hAnsi="Times New Roman" w:cs="Times New Roman"/>
                <w:b/>
                <w:sz w:val="24"/>
                <w:szCs w:val="24"/>
              </w:rPr>
            </w:pPr>
          </w:p>
          <w:p w:rsidR="003D4D37" w:rsidRDefault="003D4D37" w:rsidP="003A5FED">
            <w:pPr>
              <w:pStyle w:val="a3"/>
              <w:jc w:val="center"/>
              <w:rPr>
                <w:rFonts w:ascii="Times New Roman" w:hAnsi="Times New Roman"/>
                <w:sz w:val="24"/>
                <w:szCs w:val="24"/>
              </w:rPr>
            </w:pPr>
            <w:r>
              <w:rPr>
                <w:rFonts w:ascii="Times New Roman" w:hAnsi="Times New Roman"/>
                <w:sz w:val="24"/>
                <w:szCs w:val="24"/>
              </w:rPr>
              <w:t>ЗАКОН</w:t>
            </w:r>
          </w:p>
          <w:p w:rsidR="003D4D37" w:rsidRDefault="003D4D37" w:rsidP="003A5FED">
            <w:pPr>
              <w:pStyle w:val="a3"/>
              <w:jc w:val="center"/>
              <w:rPr>
                <w:rFonts w:ascii="Times New Roman" w:hAnsi="Times New Roman"/>
                <w:sz w:val="24"/>
                <w:szCs w:val="24"/>
              </w:rPr>
            </w:pPr>
            <w:r>
              <w:rPr>
                <w:rFonts w:ascii="Times New Roman" w:hAnsi="Times New Roman"/>
                <w:sz w:val="24"/>
                <w:szCs w:val="24"/>
              </w:rPr>
              <w:t>Приднестровской Молдавской Республики</w:t>
            </w:r>
          </w:p>
          <w:p w:rsidR="003D4D37" w:rsidRDefault="003D4D37" w:rsidP="003A5FED">
            <w:pPr>
              <w:tabs>
                <w:tab w:val="left" w:pos="4697"/>
              </w:tabs>
              <w:spacing w:after="0" w:line="240" w:lineRule="auto"/>
              <w:ind w:firstLine="318"/>
              <w:jc w:val="center"/>
              <w:rPr>
                <w:rFonts w:ascii="Times New Roman" w:hAnsi="Times New Roman" w:cs="Times New Roman"/>
                <w:sz w:val="24"/>
                <w:szCs w:val="24"/>
              </w:rPr>
            </w:pPr>
            <w:r>
              <w:rPr>
                <w:rFonts w:ascii="Times New Roman" w:hAnsi="Times New Roman"/>
                <w:sz w:val="24"/>
                <w:szCs w:val="24"/>
              </w:rPr>
              <w:t>«</w:t>
            </w:r>
            <w:r>
              <w:rPr>
                <w:rFonts w:ascii="Times New Roman" w:eastAsia="Times New Roman" w:hAnsi="Times New Roman" w:cs="Times New Roman"/>
                <w:sz w:val="24"/>
                <w:szCs w:val="24"/>
              </w:rPr>
              <w:t>О едином социальном налоге</w:t>
            </w:r>
            <w:r>
              <w:rPr>
                <w:rFonts w:ascii="Times New Roman" w:hAnsi="Times New Roman"/>
                <w:sz w:val="24"/>
                <w:szCs w:val="24"/>
              </w:rPr>
              <w:t xml:space="preserve"> </w:t>
            </w:r>
            <w:r>
              <w:rPr>
                <w:rFonts w:ascii="Times New Roman" w:hAnsi="Times New Roman" w:cs="Times New Roman"/>
                <w:b/>
                <w:sz w:val="24"/>
                <w:szCs w:val="24"/>
              </w:rPr>
              <w:t>и обязательном страховом взносе</w:t>
            </w:r>
            <w:r>
              <w:rPr>
                <w:rFonts w:ascii="Times New Roman" w:hAnsi="Times New Roman"/>
                <w:sz w:val="24"/>
                <w:szCs w:val="24"/>
              </w:rPr>
              <w:t>»</w:t>
            </w:r>
          </w:p>
          <w:p w:rsidR="003D4D37" w:rsidRDefault="003D4D37" w:rsidP="003A5FED">
            <w:pPr>
              <w:spacing w:after="0" w:line="240" w:lineRule="auto"/>
              <w:ind w:firstLine="542"/>
              <w:jc w:val="both"/>
              <w:rPr>
                <w:rFonts w:ascii="Times New Roman" w:hAnsi="Times New Roman" w:cs="Times New Roman"/>
                <w:b/>
                <w:sz w:val="24"/>
                <w:szCs w:val="24"/>
              </w:rPr>
            </w:pPr>
          </w:p>
        </w:tc>
      </w:tr>
      <w:tr w:rsidR="003D4D37" w:rsidTr="003D4D37">
        <w:trPr>
          <w:trHeight w:val="86"/>
        </w:trPr>
        <w:tc>
          <w:tcPr>
            <w:tcW w:w="2496" w:type="pct"/>
            <w:tcBorders>
              <w:top w:val="single" w:sz="4" w:space="0" w:color="auto"/>
              <w:left w:val="single" w:sz="4" w:space="0" w:color="000000"/>
              <w:bottom w:val="single" w:sz="4" w:space="0" w:color="auto"/>
              <w:right w:val="single" w:sz="4" w:space="0" w:color="000000"/>
            </w:tcBorders>
          </w:tcPr>
          <w:p w:rsidR="003D4D37" w:rsidRDefault="003D4D37" w:rsidP="003A5FED">
            <w:pPr>
              <w:pStyle w:val="a3"/>
              <w:spacing w:line="240" w:lineRule="exact"/>
              <w:ind w:firstLine="540"/>
              <w:outlineLvl w:val="0"/>
              <w:rPr>
                <w:rFonts w:ascii="Times New Roman" w:hAnsi="Times New Roman"/>
                <w:sz w:val="24"/>
                <w:szCs w:val="24"/>
              </w:rPr>
            </w:pPr>
            <w:r>
              <w:rPr>
                <w:rFonts w:ascii="Times New Roman" w:hAnsi="Times New Roman"/>
                <w:sz w:val="24"/>
                <w:szCs w:val="24"/>
              </w:rPr>
              <w:t>Статья 3. Объект налогообложения.</w:t>
            </w:r>
          </w:p>
          <w:p w:rsidR="003D4D37" w:rsidRDefault="003D4D37" w:rsidP="003A5FED">
            <w:pPr>
              <w:pStyle w:val="a3"/>
              <w:spacing w:line="240" w:lineRule="exact"/>
              <w:ind w:firstLine="540"/>
              <w:jc w:val="both"/>
              <w:rPr>
                <w:rFonts w:ascii="Times New Roman" w:hAnsi="Times New Roman"/>
                <w:sz w:val="24"/>
                <w:szCs w:val="24"/>
              </w:rPr>
            </w:pPr>
          </w:p>
          <w:p w:rsidR="003D4D37" w:rsidRDefault="003D4D37" w:rsidP="003A5FED">
            <w:pPr>
              <w:spacing w:after="0" w:line="240" w:lineRule="exact"/>
              <w:ind w:firstLine="601"/>
              <w:jc w:val="both"/>
              <w:rPr>
                <w:rFonts w:ascii="Times New Roman" w:hAnsi="Times New Roman" w:cs="Times New Roman"/>
                <w:sz w:val="24"/>
                <w:szCs w:val="24"/>
              </w:rPr>
            </w:pPr>
            <w:r>
              <w:rPr>
                <w:rFonts w:ascii="Times New Roman" w:hAnsi="Times New Roman" w:cs="Times New Roman"/>
                <w:sz w:val="24"/>
                <w:szCs w:val="24"/>
              </w:rPr>
              <w:t>Объектом  налогообложения признаются:</w:t>
            </w:r>
          </w:p>
          <w:p w:rsidR="003D4D37" w:rsidRDefault="003D4D37" w:rsidP="003A5FED">
            <w:pPr>
              <w:spacing w:after="0" w:line="240" w:lineRule="exact"/>
              <w:ind w:firstLine="601"/>
              <w:jc w:val="both"/>
              <w:rPr>
                <w:rFonts w:ascii="Times New Roman" w:hAnsi="Times New Roman" w:cs="Times New Roman"/>
                <w:sz w:val="24"/>
                <w:szCs w:val="24"/>
              </w:rPr>
            </w:pPr>
            <w:r>
              <w:rPr>
                <w:rFonts w:ascii="Times New Roman" w:hAnsi="Times New Roman" w:cs="Times New Roman"/>
                <w:sz w:val="24"/>
                <w:szCs w:val="24"/>
              </w:rPr>
              <w:t xml:space="preserve">1. Для налогоплательщиков, указанных в подпункте а) пункта 1  статьи 2 настоящего Закона, </w:t>
            </w:r>
          </w:p>
          <w:p w:rsidR="003D4D37" w:rsidRDefault="003D4D37" w:rsidP="003A5FED">
            <w:pPr>
              <w:spacing w:after="0" w:line="240" w:lineRule="exact"/>
              <w:ind w:firstLine="601"/>
              <w:jc w:val="both"/>
              <w:rPr>
                <w:rFonts w:ascii="Times New Roman" w:hAnsi="Times New Roman" w:cs="Times New Roman"/>
                <w:sz w:val="24"/>
                <w:szCs w:val="24"/>
              </w:rPr>
            </w:pPr>
            <w:r>
              <w:rPr>
                <w:rFonts w:ascii="Times New Roman" w:hAnsi="Times New Roman" w:cs="Times New Roman"/>
                <w:sz w:val="24"/>
                <w:szCs w:val="24"/>
              </w:rPr>
              <w:t>- выплаты и иные вознаграждения, начисляемые в пользу работников и иных физических лиц по всем основаниям (кроме процентов по депозитам, выплачиваемым вкладчикам банка, и дивидендов с долевого участия в уставных капиталах), в том числе:</w:t>
            </w:r>
          </w:p>
          <w:p w:rsidR="003D4D37" w:rsidRDefault="003D4D37" w:rsidP="003A5FED">
            <w:pPr>
              <w:spacing w:after="0" w:line="240" w:lineRule="exact"/>
              <w:ind w:firstLine="601"/>
              <w:jc w:val="both"/>
              <w:rPr>
                <w:rFonts w:ascii="Times New Roman" w:hAnsi="Times New Roman" w:cs="Times New Roman"/>
                <w:sz w:val="24"/>
              </w:rPr>
            </w:pPr>
            <w:proofErr w:type="gramStart"/>
            <w:r>
              <w:rPr>
                <w:rFonts w:ascii="Times New Roman" w:hAnsi="Times New Roman" w:cs="Times New Roman"/>
                <w:sz w:val="24"/>
                <w:szCs w:val="24"/>
              </w:rPr>
              <w:t>- выплаты по трудовым и гражданско-правовым договорам, предметом которых является выполнение работ, оказание услуг (за исключением вознаграждений, выплачиваемым индивидуальным предпринимателям, частным нотариусам и адвокатам, а также по авторским и лицензионным договорам.</w:t>
            </w:r>
            <w:proofErr w:type="gramEnd"/>
            <w:r>
              <w:rPr>
                <w:rFonts w:ascii="Times New Roman" w:hAnsi="Times New Roman" w:cs="Times New Roman"/>
                <w:sz w:val="24"/>
                <w:szCs w:val="24"/>
              </w:rPr>
              <w:t xml:space="preserve"> Не относятся к объекту налогообложения выплаты, производимые в рамках гражданско-правовых договоров, предметом которых является переход права собственности или иных вещных прав на недвижимое имущество, а также договоров, связанных с передачей в пользование имущества (имущественных прав);</w:t>
            </w:r>
          </w:p>
        </w:tc>
        <w:tc>
          <w:tcPr>
            <w:tcW w:w="2504" w:type="pct"/>
            <w:tcBorders>
              <w:top w:val="single" w:sz="4" w:space="0" w:color="auto"/>
              <w:left w:val="single" w:sz="4" w:space="0" w:color="000000"/>
              <w:bottom w:val="single" w:sz="4" w:space="0" w:color="auto"/>
              <w:right w:val="single" w:sz="4" w:space="0" w:color="000000"/>
            </w:tcBorders>
          </w:tcPr>
          <w:p w:rsidR="003D4D37" w:rsidRDefault="003D4D37" w:rsidP="003A5FED">
            <w:pPr>
              <w:pStyle w:val="a3"/>
              <w:spacing w:line="240" w:lineRule="exact"/>
              <w:ind w:firstLine="540"/>
              <w:outlineLvl w:val="0"/>
              <w:rPr>
                <w:rFonts w:ascii="Times New Roman" w:hAnsi="Times New Roman"/>
                <w:sz w:val="24"/>
                <w:szCs w:val="24"/>
              </w:rPr>
            </w:pPr>
            <w:r>
              <w:rPr>
                <w:rFonts w:ascii="Times New Roman" w:hAnsi="Times New Roman"/>
                <w:sz w:val="24"/>
                <w:szCs w:val="24"/>
              </w:rPr>
              <w:t>Статья 3. Объект налогообложения.</w:t>
            </w:r>
          </w:p>
          <w:p w:rsidR="003D4D37" w:rsidRDefault="003D4D37" w:rsidP="003A5FED">
            <w:pPr>
              <w:pStyle w:val="a3"/>
              <w:spacing w:line="240" w:lineRule="exact"/>
              <w:ind w:firstLine="540"/>
              <w:jc w:val="both"/>
              <w:rPr>
                <w:rFonts w:ascii="Times New Roman" w:hAnsi="Times New Roman"/>
                <w:sz w:val="24"/>
                <w:szCs w:val="24"/>
              </w:rPr>
            </w:pPr>
          </w:p>
          <w:p w:rsidR="003D4D37" w:rsidRDefault="003D4D37" w:rsidP="003A5FED">
            <w:pPr>
              <w:spacing w:after="0" w:line="240" w:lineRule="exact"/>
              <w:ind w:firstLine="601"/>
              <w:jc w:val="both"/>
              <w:rPr>
                <w:rFonts w:ascii="Times New Roman" w:hAnsi="Times New Roman" w:cs="Times New Roman"/>
                <w:sz w:val="24"/>
                <w:szCs w:val="24"/>
              </w:rPr>
            </w:pPr>
            <w:r>
              <w:rPr>
                <w:rFonts w:ascii="Times New Roman" w:hAnsi="Times New Roman" w:cs="Times New Roman"/>
                <w:sz w:val="24"/>
                <w:szCs w:val="24"/>
              </w:rPr>
              <w:t>Объектом  налогообложения признаются:</w:t>
            </w:r>
          </w:p>
          <w:p w:rsidR="003D4D37" w:rsidRDefault="003D4D37" w:rsidP="003A5FED">
            <w:pPr>
              <w:spacing w:after="0" w:line="240" w:lineRule="exact"/>
              <w:ind w:firstLine="601"/>
              <w:jc w:val="both"/>
              <w:rPr>
                <w:rFonts w:ascii="Times New Roman" w:hAnsi="Times New Roman" w:cs="Times New Roman"/>
                <w:sz w:val="24"/>
                <w:szCs w:val="24"/>
              </w:rPr>
            </w:pPr>
            <w:r>
              <w:rPr>
                <w:rFonts w:ascii="Times New Roman" w:hAnsi="Times New Roman" w:cs="Times New Roman"/>
                <w:sz w:val="24"/>
                <w:szCs w:val="24"/>
              </w:rPr>
              <w:t xml:space="preserve">1. Для налогоплательщиков, указанных в подпункте а) пункта 1  статьи 2 настоящего Закона, </w:t>
            </w:r>
          </w:p>
          <w:p w:rsidR="003D4D37" w:rsidRDefault="003D4D37" w:rsidP="003A5FED">
            <w:pPr>
              <w:spacing w:after="0" w:line="240" w:lineRule="exact"/>
              <w:ind w:firstLine="601"/>
              <w:jc w:val="both"/>
              <w:rPr>
                <w:rFonts w:ascii="Times New Roman" w:hAnsi="Times New Roman" w:cs="Times New Roman"/>
                <w:sz w:val="24"/>
                <w:szCs w:val="24"/>
              </w:rPr>
            </w:pPr>
            <w:r>
              <w:rPr>
                <w:rFonts w:ascii="Times New Roman" w:hAnsi="Times New Roman" w:cs="Times New Roman"/>
                <w:sz w:val="24"/>
                <w:szCs w:val="24"/>
              </w:rPr>
              <w:t>- выплаты и иные вознаграждения, начисляемые в пользу работников и иных физических лиц по всем основаниям (кроме процентов по депозитам, выплачиваемым вкладчикам банка, и дивидендов с долевого участия в уставных капиталах), в том числе:</w:t>
            </w:r>
          </w:p>
          <w:p w:rsidR="003D4D37" w:rsidRDefault="003D4D37" w:rsidP="003A5FED">
            <w:pPr>
              <w:spacing w:after="0" w:line="240" w:lineRule="exact"/>
              <w:ind w:firstLine="542"/>
              <w:jc w:val="both"/>
              <w:rPr>
                <w:rFonts w:ascii="Times New Roman" w:hAnsi="Times New Roman" w:cs="Times New Roman"/>
                <w:b/>
                <w:sz w:val="24"/>
                <w:szCs w:val="24"/>
              </w:rPr>
            </w:pPr>
            <w:proofErr w:type="gramStart"/>
            <w:r>
              <w:rPr>
                <w:rFonts w:ascii="Times New Roman" w:hAnsi="Times New Roman" w:cs="Times New Roman"/>
                <w:sz w:val="24"/>
                <w:szCs w:val="24"/>
              </w:rPr>
              <w:t>- выплаты по трудовым и гражданско-правовым договорам, предметом которых является выполнение работ, оказание услуг (за исключением вознаграждений, выплачиваемым индивидуальным предпринимателям, частным нотариусам и адвокатам, а также по авторским и лицензионным договорам.</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Не относятся к объекту налогообложения выплаты, производимые в рамках гражданско-правовых договоров, предметом которых является переход права собственности или иных вещных прав на недвижимое имущество, а также договоров, связанных с передачей в пользование имущества (имущественных прав), </w:t>
            </w:r>
            <w:r>
              <w:rPr>
                <w:rFonts w:ascii="Times New Roman" w:hAnsi="Times New Roman"/>
                <w:b/>
                <w:sz w:val="24"/>
                <w:szCs w:val="24"/>
              </w:rPr>
              <w:t>а также выплаты, производимые в рамках гражданско-правовых договоров, предметом которых является приобретение у физических лиц движимого имущества</w:t>
            </w:r>
            <w:r>
              <w:rPr>
                <w:rFonts w:ascii="Times New Roman" w:hAnsi="Times New Roman" w:cs="Times New Roman"/>
                <w:sz w:val="24"/>
                <w:szCs w:val="24"/>
              </w:rPr>
              <w:t>;</w:t>
            </w:r>
            <w:proofErr w:type="gramEnd"/>
          </w:p>
        </w:tc>
      </w:tr>
      <w:tr w:rsidR="003D4D37" w:rsidTr="003D4D37">
        <w:trPr>
          <w:trHeight w:val="97"/>
        </w:trPr>
        <w:tc>
          <w:tcPr>
            <w:tcW w:w="2496" w:type="pct"/>
            <w:tcBorders>
              <w:top w:val="single" w:sz="4" w:space="0" w:color="auto"/>
              <w:left w:val="single" w:sz="4" w:space="0" w:color="000000"/>
              <w:bottom w:val="single" w:sz="4" w:space="0" w:color="auto"/>
              <w:right w:val="single" w:sz="4" w:space="0" w:color="000000"/>
            </w:tcBorders>
          </w:tcPr>
          <w:p w:rsidR="003D4D37" w:rsidRDefault="003D4D37" w:rsidP="003A5FED">
            <w:pPr>
              <w:spacing w:after="0" w:line="240" w:lineRule="auto"/>
              <w:ind w:firstLine="601"/>
              <w:jc w:val="both"/>
              <w:rPr>
                <w:rFonts w:ascii="Times New Roman" w:hAnsi="Times New Roman" w:cs="Times New Roman"/>
                <w:sz w:val="24"/>
                <w:szCs w:val="24"/>
              </w:rPr>
            </w:pPr>
            <w:r>
              <w:rPr>
                <w:rFonts w:ascii="Times New Roman" w:hAnsi="Times New Roman"/>
                <w:sz w:val="24"/>
                <w:szCs w:val="24"/>
              </w:rPr>
              <w:t>Статья 3. Объект налогообложения.</w:t>
            </w:r>
          </w:p>
          <w:p w:rsidR="003D4D37" w:rsidRDefault="003D4D37" w:rsidP="003A5FED">
            <w:pPr>
              <w:spacing w:after="0" w:line="240" w:lineRule="auto"/>
              <w:ind w:firstLine="601"/>
              <w:jc w:val="both"/>
              <w:rPr>
                <w:rFonts w:ascii="Times New Roman" w:hAnsi="Times New Roman" w:cs="Times New Roman"/>
                <w:sz w:val="24"/>
                <w:szCs w:val="24"/>
              </w:rPr>
            </w:pPr>
          </w:p>
          <w:p w:rsidR="003D4D37" w:rsidRDefault="003D4D37"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2-2. …</w:t>
            </w:r>
          </w:p>
          <w:p w:rsidR="003D4D37" w:rsidRDefault="003D4D37" w:rsidP="003A5FED">
            <w:pPr>
              <w:spacing w:after="0" w:line="240" w:lineRule="auto"/>
              <w:ind w:firstLine="601"/>
              <w:jc w:val="both"/>
              <w:rPr>
                <w:rFonts w:ascii="Times New Roman" w:hAnsi="Times New Roman" w:cs="Times New Roman"/>
              </w:rPr>
            </w:pPr>
            <w:r>
              <w:rPr>
                <w:rFonts w:ascii="Times New Roman" w:hAnsi="Times New Roman" w:cs="Times New Roman"/>
                <w:sz w:val="24"/>
                <w:szCs w:val="24"/>
              </w:rPr>
              <w:t xml:space="preserve">Не относятся к объекту налогообложения выплаты, производимые в рамках гражданско-правовых договоров, предметом которых является переход права собственности или иных вещных прав на недвижимое </w:t>
            </w:r>
            <w:r>
              <w:rPr>
                <w:rFonts w:ascii="Times New Roman" w:hAnsi="Times New Roman" w:cs="Times New Roman"/>
                <w:sz w:val="24"/>
                <w:szCs w:val="24"/>
              </w:rPr>
              <w:lastRenderedPageBreak/>
              <w:t>имущество, а также договоров, связанных с передачей в пользование имущества (имущественных прав).</w:t>
            </w:r>
          </w:p>
        </w:tc>
        <w:tc>
          <w:tcPr>
            <w:tcW w:w="2504" w:type="pct"/>
            <w:tcBorders>
              <w:top w:val="single" w:sz="4" w:space="0" w:color="auto"/>
              <w:left w:val="single" w:sz="4" w:space="0" w:color="000000"/>
              <w:bottom w:val="single" w:sz="4" w:space="0" w:color="auto"/>
              <w:right w:val="single" w:sz="4" w:space="0" w:color="000000"/>
            </w:tcBorders>
          </w:tcPr>
          <w:p w:rsidR="003D4D37" w:rsidRDefault="003D4D37" w:rsidP="003A5FED">
            <w:pPr>
              <w:spacing w:after="0" w:line="240" w:lineRule="auto"/>
              <w:ind w:firstLine="601"/>
              <w:jc w:val="both"/>
              <w:rPr>
                <w:rFonts w:ascii="Times New Roman" w:hAnsi="Times New Roman" w:cs="Times New Roman"/>
                <w:sz w:val="24"/>
                <w:szCs w:val="24"/>
              </w:rPr>
            </w:pPr>
            <w:r>
              <w:rPr>
                <w:rFonts w:ascii="Times New Roman" w:hAnsi="Times New Roman"/>
                <w:sz w:val="24"/>
                <w:szCs w:val="24"/>
              </w:rPr>
              <w:lastRenderedPageBreak/>
              <w:t>Статья 3. Объект налогообложения.</w:t>
            </w:r>
          </w:p>
          <w:p w:rsidR="003D4D37" w:rsidRDefault="003D4D37" w:rsidP="003A5FED">
            <w:pPr>
              <w:spacing w:after="0" w:line="240" w:lineRule="auto"/>
              <w:ind w:firstLine="601"/>
              <w:jc w:val="both"/>
              <w:rPr>
                <w:rFonts w:ascii="Times New Roman" w:hAnsi="Times New Roman" w:cs="Times New Roman"/>
                <w:sz w:val="24"/>
                <w:szCs w:val="24"/>
              </w:rPr>
            </w:pPr>
          </w:p>
          <w:p w:rsidR="003D4D37" w:rsidRDefault="003D4D37"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2-2. …</w:t>
            </w:r>
          </w:p>
          <w:p w:rsidR="003D4D37" w:rsidRDefault="003D4D37" w:rsidP="003A5FED">
            <w:pPr>
              <w:spacing w:after="0" w:line="240" w:lineRule="auto"/>
              <w:ind w:firstLine="542"/>
              <w:jc w:val="both"/>
              <w:rPr>
                <w:rFonts w:ascii="Times New Roman" w:hAnsi="Times New Roman" w:cs="Times New Roman"/>
                <w:b/>
                <w:sz w:val="24"/>
                <w:szCs w:val="24"/>
              </w:rPr>
            </w:pPr>
            <w:proofErr w:type="gramStart"/>
            <w:r>
              <w:rPr>
                <w:rFonts w:ascii="Times New Roman" w:hAnsi="Times New Roman" w:cs="Times New Roman"/>
                <w:sz w:val="24"/>
                <w:szCs w:val="24"/>
              </w:rPr>
              <w:t xml:space="preserve">Не относятся к объекту налогообложения выплаты, производимые в рамках гражданско-правовых договоров, предметом которых является переход права собственности или иных вещных прав на недвижимое </w:t>
            </w:r>
            <w:r>
              <w:rPr>
                <w:rFonts w:ascii="Times New Roman" w:hAnsi="Times New Roman" w:cs="Times New Roman"/>
                <w:sz w:val="24"/>
                <w:szCs w:val="24"/>
              </w:rPr>
              <w:lastRenderedPageBreak/>
              <w:t>имущество, а также договоров, связанных с передачей в пользование имущества (имущественных прав),</w:t>
            </w:r>
            <w:r>
              <w:rPr>
                <w:rFonts w:ascii="Times New Roman" w:hAnsi="Times New Roman"/>
                <w:b/>
                <w:sz w:val="24"/>
                <w:szCs w:val="24"/>
              </w:rPr>
              <w:t xml:space="preserve"> а также выплаты, производимые в рамках гражданско-правовых договоров, предметом которых является приобретение у физических лиц движимого имущества.</w:t>
            </w:r>
            <w:proofErr w:type="gramEnd"/>
          </w:p>
        </w:tc>
      </w:tr>
      <w:tr w:rsidR="003D4D37" w:rsidTr="003D4D37">
        <w:trPr>
          <w:trHeight w:val="109"/>
        </w:trPr>
        <w:tc>
          <w:tcPr>
            <w:tcW w:w="2496" w:type="pct"/>
            <w:tcBorders>
              <w:top w:val="single" w:sz="4" w:space="0" w:color="auto"/>
              <w:left w:val="single" w:sz="4" w:space="0" w:color="000000"/>
              <w:bottom w:val="single" w:sz="4" w:space="0" w:color="auto"/>
              <w:right w:val="single" w:sz="4" w:space="0" w:color="000000"/>
            </w:tcBorders>
            <w:hideMark/>
          </w:tcPr>
          <w:p w:rsidR="003D4D37" w:rsidRDefault="003D4D37"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lastRenderedPageBreak/>
              <w:t>Статья 4. Налоговая база.</w:t>
            </w:r>
          </w:p>
          <w:p w:rsidR="003D4D37" w:rsidRDefault="003D4D37"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w:t>
            </w:r>
          </w:p>
          <w:p w:rsidR="003D4D37" w:rsidRDefault="003D4D37" w:rsidP="003A5FED">
            <w:pPr>
              <w:spacing w:after="0" w:line="240" w:lineRule="auto"/>
              <w:ind w:firstLine="601"/>
              <w:jc w:val="both"/>
              <w:rPr>
                <w:rFonts w:cs="Times New Roman"/>
              </w:rPr>
            </w:pPr>
            <w:r w:rsidRPr="003A5FED">
              <w:rPr>
                <w:rFonts w:ascii="Times New Roman" w:hAnsi="Times New Roman" w:cs="Times New Roman"/>
                <w:spacing w:val="-2"/>
                <w:sz w:val="24"/>
                <w:szCs w:val="24"/>
              </w:rPr>
              <w:t>В налогооблагаемую базу не включаются суммы, предусмотренные</w:t>
            </w:r>
            <w:r>
              <w:rPr>
                <w:rFonts w:ascii="Times New Roman" w:hAnsi="Times New Roman" w:cs="Times New Roman"/>
                <w:sz w:val="24"/>
                <w:szCs w:val="24"/>
              </w:rPr>
              <w:t xml:space="preserve"> в статье 5 настоящего Закона.</w:t>
            </w:r>
          </w:p>
        </w:tc>
        <w:tc>
          <w:tcPr>
            <w:tcW w:w="2504" w:type="pct"/>
            <w:tcBorders>
              <w:top w:val="single" w:sz="4" w:space="0" w:color="auto"/>
              <w:left w:val="single" w:sz="4" w:space="0" w:color="000000"/>
              <w:bottom w:val="single" w:sz="4" w:space="0" w:color="auto"/>
              <w:right w:val="single" w:sz="4" w:space="0" w:color="000000"/>
            </w:tcBorders>
            <w:hideMark/>
          </w:tcPr>
          <w:p w:rsidR="003D4D37" w:rsidRDefault="003D4D37" w:rsidP="003A5FED">
            <w:pPr>
              <w:spacing w:after="0" w:line="240" w:lineRule="auto"/>
              <w:ind w:firstLine="553"/>
              <w:jc w:val="both"/>
              <w:rPr>
                <w:rFonts w:ascii="Times New Roman" w:hAnsi="Times New Roman" w:cs="Times New Roman"/>
                <w:sz w:val="24"/>
                <w:szCs w:val="24"/>
              </w:rPr>
            </w:pPr>
            <w:r>
              <w:rPr>
                <w:rFonts w:ascii="Times New Roman" w:hAnsi="Times New Roman" w:cs="Times New Roman"/>
                <w:sz w:val="24"/>
                <w:szCs w:val="24"/>
              </w:rPr>
              <w:t>Статья 4. Налоговая база.</w:t>
            </w:r>
          </w:p>
          <w:p w:rsidR="003D4D37" w:rsidRDefault="003D4D37" w:rsidP="003A5FED">
            <w:pPr>
              <w:spacing w:after="0" w:line="240" w:lineRule="auto"/>
              <w:ind w:firstLine="553"/>
              <w:jc w:val="both"/>
              <w:rPr>
                <w:rFonts w:ascii="Times New Roman" w:hAnsi="Times New Roman" w:cs="Times New Roman"/>
                <w:sz w:val="24"/>
                <w:szCs w:val="24"/>
              </w:rPr>
            </w:pPr>
            <w:r>
              <w:rPr>
                <w:rFonts w:ascii="Times New Roman" w:hAnsi="Times New Roman" w:cs="Times New Roman"/>
                <w:sz w:val="24"/>
                <w:szCs w:val="24"/>
              </w:rPr>
              <w:t>…</w:t>
            </w:r>
          </w:p>
          <w:p w:rsidR="003D4D37" w:rsidRDefault="003D4D37" w:rsidP="003A5FED">
            <w:pPr>
              <w:spacing w:after="0" w:line="240" w:lineRule="auto"/>
              <w:ind w:firstLine="553"/>
              <w:jc w:val="both"/>
              <w:rPr>
                <w:rFonts w:ascii="Times New Roman" w:hAnsi="Times New Roman" w:cs="Times New Roman"/>
                <w:b/>
                <w:sz w:val="24"/>
                <w:szCs w:val="24"/>
              </w:rPr>
            </w:pPr>
            <w:r>
              <w:rPr>
                <w:rFonts w:ascii="Times New Roman" w:hAnsi="Times New Roman" w:cs="Times New Roman"/>
                <w:sz w:val="24"/>
                <w:szCs w:val="24"/>
              </w:rPr>
              <w:t xml:space="preserve">В налогооблагаемую базу </w:t>
            </w:r>
            <w:r>
              <w:rPr>
                <w:rFonts w:ascii="Times New Roman" w:hAnsi="Times New Roman" w:cs="Times New Roman"/>
                <w:b/>
                <w:sz w:val="24"/>
                <w:szCs w:val="24"/>
              </w:rPr>
              <w:t>по единому социальному налогу</w:t>
            </w:r>
            <w:r>
              <w:rPr>
                <w:rFonts w:ascii="Times New Roman" w:hAnsi="Times New Roman" w:cs="Times New Roman"/>
                <w:sz w:val="24"/>
                <w:szCs w:val="24"/>
              </w:rPr>
              <w:t xml:space="preserve"> не включаются суммы, предусмотренные в статье 5 настоящего Закона.</w:t>
            </w:r>
          </w:p>
        </w:tc>
      </w:tr>
      <w:tr w:rsidR="003D4D37" w:rsidTr="003A5FED">
        <w:trPr>
          <w:trHeight w:val="597"/>
        </w:trPr>
        <w:tc>
          <w:tcPr>
            <w:tcW w:w="2496" w:type="pct"/>
            <w:tcBorders>
              <w:top w:val="single" w:sz="4" w:space="0" w:color="auto"/>
              <w:left w:val="single" w:sz="4" w:space="0" w:color="000000"/>
              <w:bottom w:val="single" w:sz="4" w:space="0" w:color="auto"/>
              <w:right w:val="single" w:sz="4" w:space="0" w:color="000000"/>
            </w:tcBorders>
          </w:tcPr>
          <w:p w:rsidR="003D4D37" w:rsidRDefault="003D4D37" w:rsidP="003A5FED">
            <w:pPr>
              <w:spacing w:after="0" w:line="240" w:lineRule="auto"/>
              <w:ind w:firstLine="601"/>
              <w:jc w:val="both"/>
              <w:rPr>
                <w:rFonts w:cs="Times New Roman"/>
              </w:rPr>
            </w:pPr>
            <w:r>
              <w:rPr>
                <w:rFonts w:ascii="Times New Roman" w:hAnsi="Times New Roman" w:cs="Times New Roman"/>
                <w:sz w:val="24"/>
                <w:szCs w:val="24"/>
              </w:rPr>
              <w:t xml:space="preserve">Статья 5. </w:t>
            </w:r>
            <w:r>
              <w:rPr>
                <w:rFonts w:ascii="Times New Roman" w:hAnsi="Times New Roman"/>
                <w:sz w:val="24"/>
                <w:szCs w:val="24"/>
              </w:rPr>
              <w:t xml:space="preserve">Суммы, не подлежащие налогообложению </w:t>
            </w:r>
          </w:p>
        </w:tc>
        <w:tc>
          <w:tcPr>
            <w:tcW w:w="2504" w:type="pct"/>
            <w:tcBorders>
              <w:top w:val="single" w:sz="4" w:space="0" w:color="auto"/>
              <w:left w:val="single" w:sz="4" w:space="0" w:color="000000"/>
              <w:bottom w:val="single" w:sz="4" w:space="0" w:color="auto"/>
              <w:right w:val="single" w:sz="4" w:space="0" w:color="000000"/>
            </w:tcBorders>
          </w:tcPr>
          <w:p w:rsidR="003D4D37" w:rsidRDefault="003D4D37" w:rsidP="003A5FED">
            <w:pPr>
              <w:spacing w:after="0" w:line="240" w:lineRule="auto"/>
              <w:ind w:firstLine="601"/>
              <w:jc w:val="both"/>
              <w:rPr>
                <w:rFonts w:ascii="Times New Roman" w:hAnsi="Times New Roman" w:cs="Times New Roman"/>
                <w:b/>
                <w:sz w:val="24"/>
                <w:szCs w:val="24"/>
              </w:rPr>
            </w:pPr>
            <w:r>
              <w:rPr>
                <w:rFonts w:ascii="Times New Roman" w:hAnsi="Times New Roman" w:cs="Times New Roman"/>
                <w:sz w:val="24"/>
                <w:szCs w:val="24"/>
              </w:rPr>
              <w:t xml:space="preserve">Статья 5. </w:t>
            </w:r>
            <w:r>
              <w:rPr>
                <w:rFonts w:ascii="Times New Roman" w:hAnsi="Times New Roman"/>
                <w:sz w:val="24"/>
                <w:szCs w:val="24"/>
              </w:rPr>
              <w:t xml:space="preserve">Суммы, не подлежащие налогообложению </w:t>
            </w:r>
            <w:r>
              <w:rPr>
                <w:rFonts w:ascii="Times New Roman" w:hAnsi="Times New Roman" w:cs="Times New Roman"/>
                <w:b/>
                <w:sz w:val="24"/>
                <w:szCs w:val="24"/>
              </w:rPr>
              <w:t>единым социальным налогом</w:t>
            </w:r>
          </w:p>
        </w:tc>
      </w:tr>
      <w:tr w:rsidR="003A5FED" w:rsidTr="003D4D37">
        <w:trPr>
          <w:trHeight w:val="1114"/>
        </w:trPr>
        <w:tc>
          <w:tcPr>
            <w:tcW w:w="2496" w:type="pct"/>
            <w:tcBorders>
              <w:top w:val="single" w:sz="4" w:space="0" w:color="auto"/>
              <w:left w:val="single" w:sz="4" w:space="0" w:color="000000"/>
              <w:bottom w:val="single" w:sz="4" w:space="0" w:color="auto"/>
              <w:right w:val="single" w:sz="4" w:space="0" w:color="000000"/>
            </w:tcBorders>
          </w:tcPr>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Статья 5. Суммы, не подлежащие налогообложению</w:t>
            </w:r>
          </w:p>
          <w:p w:rsidR="003A5FED" w:rsidRDefault="003A5FED" w:rsidP="003A5FED">
            <w:pPr>
              <w:spacing w:after="0" w:line="240" w:lineRule="auto"/>
              <w:ind w:firstLine="601"/>
              <w:jc w:val="both"/>
              <w:rPr>
                <w:rFonts w:ascii="Times New Roman" w:hAnsi="Times New Roman" w:cs="Times New Roman"/>
                <w:sz w:val="24"/>
                <w:szCs w:val="24"/>
              </w:rPr>
            </w:pPr>
          </w:p>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1. Не включаются в состав доходов, подлежащих налогообложению:</w:t>
            </w:r>
          </w:p>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w:t>
            </w:r>
          </w:p>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 xml:space="preserve">б) все виды установленных действующим законодательством Приднестровской Молдавской Республики компенсационных выплат (за исключением компенсаций за неиспользованный отпуск, в том числе при увольнении), связанных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w:t>
            </w:r>
          </w:p>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5) трудоустройством работников, уволенных в связи с осуществлением мероприятий по сокращению численности или штата, реорганизацией или ликвидацией организации;</w:t>
            </w:r>
          </w:p>
        </w:tc>
        <w:tc>
          <w:tcPr>
            <w:tcW w:w="2504" w:type="pct"/>
            <w:tcBorders>
              <w:top w:val="single" w:sz="4" w:space="0" w:color="auto"/>
              <w:left w:val="single" w:sz="4" w:space="0" w:color="000000"/>
              <w:bottom w:val="single" w:sz="4" w:space="0" w:color="auto"/>
              <w:right w:val="single" w:sz="4" w:space="0" w:color="000000"/>
            </w:tcBorders>
          </w:tcPr>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Статья 5. Суммы, не подлежащие налогообложению</w:t>
            </w:r>
          </w:p>
          <w:p w:rsidR="003A5FED" w:rsidRDefault="003A5FED" w:rsidP="003A5FED">
            <w:pPr>
              <w:spacing w:after="0" w:line="240" w:lineRule="auto"/>
              <w:ind w:firstLine="601"/>
              <w:jc w:val="both"/>
              <w:rPr>
                <w:rFonts w:ascii="Times New Roman" w:hAnsi="Times New Roman" w:cs="Times New Roman"/>
                <w:sz w:val="24"/>
                <w:szCs w:val="24"/>
              </w:rPr>
            </w:pPr>
          </w:p>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1. Не включаются в состав доходов, подлежащих налогообложению:</w:t>
            </w:r>
          </w:p>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w:t>
            </w:r>
          </w:p>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 xml:space="preserve">б) все виды установленных действующим законодательством Приднестровской Молдавской Республики компенсационных выплат (за </w:t>
            </w:r>
            <w:r w:rsidRPr="003A5FED">
              <w:rPr>
                <w:rFonts w:ascii="Times New Roman" w:hAnsi="Times New Roman" w:cs="Times New Roman"/>
                <w:spacing w:val="-2"/>
                <w:sz w:val="24"/>
                <w:szCs w:val="24"/>
              </w:rPr>
              <w:t>исключением компенсаций за неиспользованный отпуск, в том числе при</w:t>
            </w:r>
            <w:r>
              <w:rPr>
                <w:rFonts w:ascii="Times New Roman" w:hAnsi="Times New Roman" w:cs="Times New Roman"/>
                <w:sz w:val="24"/>
                <w:szCs w:val="24"/>
              </w:rPr>
              <w:t xml:space="preserve"> увольнении), связанных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w:t>
            </w:r>
          </w:p>
          <w:p w:rsidR="003A5FED" w:rsidRDefault="003A5FED" w:rsidP="003A5FED">
            <w:pPr>
              <w:spacing w:after="0" w:line="240" w:lineRule="auto"/>
              <w:ind w:firstLine="542"/>
              <w:jc w:val="both"/>
              <w:rPr>
                <w:rFonts w:ascii="Times New Roman" w:hAnsi="Times New Roman" w:cs="Times New Roman"/>
                <w:b/>
                <w:sz w:val="24"/>
                <w:szCs w:val="24"/>
              </w:rPr>
            </w:pPr>
            <w:r>
              <w:rPr>
                <w:rFonts w:ascii="Times New Roman" w:hAnsi="Times New Roman" w:cs="Times New Roman"/>
                <w:sz w:val="24"/>
                <w:szCs w:val="24"/>
              </w:rPr>
              <w:t>5) трудоустройством работников, уволенных в связи с осуществлением мероприятий по сокращению численности или штата, реорганизацией или ликвидацией организации.</w:t>
            </w:r>
          </w:p>
          <w:p w:rsidR="003A5FED" w:rsidRDefault="003A5FED" w:rsidP="003A5FED">
            <w:pPr>
              <w:spacing w:after="0" w:line="240" w:lineRule="auto"/>
              <w:ind w:firstLine="542"/>
              <w:jc w:val="both"/>
              <w:rPr>
                <w:rFonts w:ascii="Times New Roman" w:hAnsi="Times New Roman" w:cs="Times New Roman"/>
                <w:b/>
                <w:sz w:val="24"/>
                <w:szCs w:val="24"/>
              </w:rPr>
            </w:pPr>
            <w:r>
              <w:rPr>
                <w:rFonts w:ascii="Times New Roman" w:hAnsi="Times New Roman" w:cs="Times New Roman"/>
                <w:b/>
                <w:sz w:val="24"/>
                <w:szCs w:val="24"/>
              </w:rPr>
              <w:t>В случае увольнения работника по сокращению штата, а также при реорганизации и (или) ликвидации организации, когда в соответствии с законодательством Приднестровской Молдавской Республики о труде ему наряду с выходным пособием сохраняется также на период трудоустройства средняя заработная плата, от налогообложения освобождается только сумма выходного пособия;</w:t>
            </w:r>
          </w:p>
          <w:p w:rsidR="003A5FED" w:rsidRDefault="003A5FED" w:rsidP="003A5FED">
            <w:pPr>
              <w:spacing w:after="0" w:line="240" w:lineRule="auto"/>
              <w:ind w:firstLine="542"/>
              <w:jc w:val="both"/>
              <w:rPr>
                <w:rFonts w:ascii="Times New Roman" w:hAnsi="Times New Roman" w:cs="Times New Roman"/>
                <w:sz w:val="24"/>
                <w:szCs w:val="24"/>
              </w:rPr>
            </w:pPr>
          </w:p>
        </w:tc>
      </w:tr>
      <w:tr w:rsidR="003A5FED" w:rsidTr="003D4D37">
        <w:trPr>
          <w:trHeight w:val="6686"/>
        </w:trPr>
        <w:tc>
          <w:tcPr>
            <w:tcW w:w="2496" w:type="pct"/>
            <w:tcBorders>
              <w:top w:val="single" w:sz="4" w:space="0" w:color="auto"/>
              <w:left w:val="single" w:sz="4" w:space="0" w:color="000000"/>
              <w:bottom w:val="single" w:sz="4" w:space="0" w:color="auto"/>
              <w:right w:val="single" w:sz="4" w:space="0" w:color="000000"/>
            </w:tcBorders>
          </w:tcPr>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lastRenderedPageBreak/>
              <w:t>Статья 5. Суммы, не подлежащие налогообложению</w:t>
            </w:r>
          </w:p>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1. Не включаются в состав доходов, подлежащих налогообложению:</w:t>
            </w:r>
          </w:p>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w:t>
            </w:r>
          </w:p>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 xml:space="preserve">б) все виды установленных действующим законодательством Приднестровской Молдавской Республики компенсационных выплат (за </w:t>
            </w:r>
            <w:r w:rsidRPr="003A5FED">
              <w:rPr>
                <w:rFonts w:ascii="Times New Roman" w:hAnsi="Times New Roman" w:cs="Times New Roman"/>
                <w:spacing w:val="-2"/>
                <w:sz w:val="24"/>
                <w:szCs w:val="24"/>
              </w:rPr>
              <w:t>исключением компенсаций за неиспользованный отпуск, в том числе при</w:t>
            </w:r>
            <w:r>
              <w:rPr>
                <w:rFonts w:ascii="Times New Roman" w:hAnsi="Times New Roman" w:cs="Times New Roman"/>
                <w:sz w:val="24"/>
                <w:szCs w:val="24"/>
              </w:rPr>
              <w:t xml:space="preserve"> увольнении), связанных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w:t>
            </w:r>
          </w:p>
          <w:p w:rsidR="003A5FED" w:rsidRDefault="003A5FED" w:rsidP="003A5FED">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 xml:space="preserve">6) выполнением физическим лицом трудовых обязанностей (включая переезд на работу в другую местность и возмещение командировочных расходов). </w:t>
            </w:r>
          </w:p>
          <w:p w:rsidR="003A5FED" w:rsidRDefault="003A5FED" w:rsidP="003A5FED">
            <w:pPr>
              <w:spacing w:after="0" w:line="240" w:lineRule="auto"/>
              <w:ind w:firstLine="601"/>
              <w:jc w:val="both"/>
              <w:rPr>
                <w:rFonts w:ascii="Times New Roman" w:hAnsi="Times New Roman" w:cs="Times New Roman"/>
                <w:sz w:val="24"/>
                <w:szCs w:val="24"/>
              </w:rPr>
            </w:pPr>
            <w:proofErr w:type="gramStart"/>
            <w:r>
              <w:rPr>
                <w:rFonts w:ascii="Times New Roman" w:hAnsi="Times New Roman" w:cs="Times New Roman"/>
                <w:sz w:val="24"/>
                <w:szCs w:val="24"/>
              </w:rPr>
              <w:t xml:space="preserve">При оплате организацией налогоплательщику расходов на командировки как внутри страны, так и за ее пределы, в облагаемый налогом доход не включаются суточные, в пределах норм возмещения, установленных в соответствии с действующим законодательством </w:t>
            </w:r>
            <w:r w:rsidRPr="00E80659">
              <w:rPr>
                <w:rFonts w:ascii="Times New Roman" w:hAnsi="Times New Roman" w:cs="Times New Roman"/>
                <w:spacing w:val="-2"/>
                <w:sz w:val="24"/>
                <w:szCs w:val="24"/>
              </w:rPr>
              <w:t>Приднестровской Молдавской Республики, фактически произведенные и</w:t>
            </w:r>
            <w:r>
              <w:rPr>
                <w:rFonts w:ascii="Times New Roman" w:hAnsi="Times New Roman" w:cs="Times New Roman"/>
                <w:sz w:val="24"/>
                <w:szCs w:val="24"/>
              </w:rPr>
              <w:t xml:space="preserve"> документально подтвержденные расходы на проезд до места назначения и обратно, расходы по найму жилого помещения, а также иные фактически произведенные и документально</w:t>
            </w:r>
            <w:proofErr w:type="gramEnd"/>
            <w:r>
              <w:rPr>
                <w:rFonts w:ascii="Times New Roman" w:hAnsi="Times New Roman" w:cs="Times New Roman"/>
                <w:sz w:val="24"/>
                <w:szCs w:val="24"/>
              </w:rPr>
              <w:t xml:space="preserve"> подтвержденные целевые расходы, связанные с выполнением командировочного задания. </w:t>
            </w:r>
          </w:p>
          <w:p w:rsidR="003A5FED" w:rsidRDefault="003A5FED" w:rsidP="003A5FED">
            <w:pPr>
              <w:spacing w:after="0" w:line="240" w:lineRule="auto"/>
              <w:ind w:firstLine="601"/>
              <w:jc w:val="both"/>
              <w:rPr>
                <w:rFonts w:cs="Times New Roman"/>
              </w:rPr>
            </w:pPr>
            <w:r>
              <w:rPr>
                <w:rFonts w:ascii="Times New Roman" w:hAnsi="Times New Roman" w:cs="Times New Roman"/>
                <w:sz w:val="24"/>
                <w:szCs w:val="24"/>
              </w:rPr>
              <w:t xml:space="preserve">При непредставлении налогоплательщиком документов, подтверждающих оплату расходов по найму жилого помещения, проездных </w:t>
            </w:r>
            <w:proofErr w:type="gramStart"/>
            <w:r>
              <w:rPr>
                <w:rFonts w:ascii="Times New Roman" w:hAnsi="Times New Roman" w:cs="Times New Roman"/>
                <w:sz w:val="24"/>
                <w:szCs w:val="24"/>
              </w:rPr>
              <w:t>билетов</w:t>
            </w:r>
            <w:proofErr w:type="gramEnd"/>
            <w:r>
              <w:rPr>
                <w:rFonts w:ascii="Times New Roman" w:hAnsi="Times New Roman" w:cs="Times New Roman"/>
                <w:sz w:val="24"/>
                <w:szCs w:val="24"/>
              </w:rPr>
              <w:t xml:space="preserve"> как по территории Приднестровской Молдавской Республики, так и за ее пределами, суммы такой оплаты освобождаются от налогообложения в пределах норм возмещения, установленных нормативными правовыми актами Приднестровской Молдавской Республики;</w:t>
            </w:r>
          </w:p>
        </w:tc>
        <w:tc>
          <w:tcPr>
            <w:tcW w:w="2504" w:type="pct"/>
            <w:tcBorders>
              <w:top w:val="single" w:sz="4" w:space="0" w:color="auto"/>
              <w:left w:val="single" w:sz="4" w:space="0" w:color="000000"/>
              <w:bottom w:val="single" w:sz="4" w:space="0" w:color="auto"/>
              <w:right w:val="single" w:sz="4" w:space="0" w:color="000000"/>
            </w:tcBorders>
          </w:tcPr>
          <w:p w:rsidR="003A5FED" w:rsidRDefault="003A5FED" w:rsidP="00E80659">
            <w:pPr>
              <w:spacing w:after="0" w:line="240" w:lineRule="exact"/>
              <w:ind w:firstLine="601"/>
              <w:jc w:val="both"/>
              <w:rPr>
                <w:rFonts w:ascii="Times New Roman" w:hAnsi="Times New Roman" w:cs="Times New Roman"/>
                <w:sz w:val="24"/>
                <w:szCs w:val="24"/>
              </w:rPr>
            </w:pPr>
            <w:r>
              <w:rPr>
                <w:rFonts w:ascii="Times New Roman" w:hAnsi="Times New Roman" w:cs="Times New Roman"/>
                <w:sz w:val="24"/>
                <w:szCs w:val="24"/>
              </w:rPr>
              <w:t>Статья 5. Суммы, не подлежащие налогообложению</w:t>
            </w:r>
          </w:p>
          <w:p w:rsidR="003A5FED" w:rsidRDefault="003A5FED" w:rsidP="00E80659">
            <w:pPr>
              <w:spacing w:after="0" w:line="240" w:lineRule="exact"/>
              <w:ind w:firstLine="601"/>
              <w:jc w:val="both"/>
              <w:rPr>
                <w:rFonts w:ascii="Times New Roman" w:hAnsi="Times New Roman" w:cs="Times New Roman"/>
                <w:sz w:val="24"/>
                <w:szCs w:val="24"/>
              </w:rPr>
            </w:pPr>
            <w:r>
              <w:rPr>
                <w:rFonts w:ascii="Times New Roman" w:hAnsi="Times New Roman" w:cs="Times New Roman"/>
                <w:sz w:val="24"/>
                <w:szCs w:val="24"/>
              </w:rPr>
              <w:t>1. Не включаются в состав доходов, подлежащих налогообложению:</w:t>
            </w:r>
          </w:p>
          <w:p w:rsidR="003A5FED" w:rsidRDefault="003A5FED" w:rsidP="00E80659">
            <w:pPr>
              <w:spacing w:after="0" w:line="240" w:lineRule="exact"/>
              <w:ind w:firstLine="601"/>
              <w:jc w:val="both"/>
              <w:rPr>
                <w:rFonts w:ascii="Times New Roman" w:hAnsi="Times New Roman" w:cs="Times New Roman"/>
                <w:sz w:val="24"/>
                <w:szCs w:val="24"/>
              </w:rPr>
            </w:pPr>
            <w:r>
              <w:rPr>
                <w:rFonts w:ascii="Times New Roman" w:hAnsi="Times New Roman" w:cs="Times New Roman"/>
                <w:sz w:val="24"/>
                <w:szCs w:val="24"/>
              </w:rPr>
              <w:t>…</w:t>
            </w:r>
          </w:p>
          <w:p w:rsidR="003A5FED" w:rsidRDefault="003A5FED" w:rsidP="00E80659">
            <w:pPr>
              <w:spacing w:after="0" w:line="240" w:lineRule="exact"/>
              <w:ind w:firstLine="601"/>
              <w:jc w:val="both"/>
              <w:rPr>
                <w:rFonts w:ascii="Times New Roman" w:hAnsi="Times New Roman" w:cs="Times New Roman"/>
                <w:sz w:val="24"/>
                <w:szCs w:val="24"/>
              </w:rPr>
            </w:pPr>
            <w:r>
              <w:rPr>
                <w:rFonts w:ascii="Times New Roman" w:hAnsi="Times New Roman" w:cs="Times New Roman"/>
                <w:sz w:val="24"/>
                <w:szCs w:val="24"/>
              </w:rPr>
              <w:t xml:space="preserve">б) все виды установленных действующим законодательством Приднестровской Молдавской Республики компенсационных выплат (за </w:t>
            </w:r>
            <w:r w:rsidRPr="00E80659">
              <w:rPr>
                <w:rFonts w:ascii="Times New Roman" w:hAnsi="Times New Roman" w:cs="Times New Roman"/>
                <w:spacing w:val="-2"/>
                <w:sz w:val="24"/>
                <w:szCs w:val="24"/>
              </w:rPr>
              <w:t>исключением компенсаций за неиспользованный отпуск, в том числе при</w:t>
            </w:r>
            <w:r>
              <w:rPr>
                <w:rFonts w:ascii="Times New Roman" w:hAnsi="Times New Roman" w:cs="Times New Roman"/>
                <w:sz w:val="24"/>
                <w:szCs w:val="24"/>
              </w:rPr>
              <w:t xml:space="preserve"> увольнении), связанных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3A5FED" w:rsidRDefault="003A5FED" w:rsidP="00E80659">
            <w:pPr>
              <w:spacing w:after="0" w:line="240" w:lineRule="exact"/>
              <w:ind w:firstLine="601"/>
              <w:jc w:val="both"/>
              <w:rPr>
                <w:rFonts w:ascii="Times New Roman" w:hAnsi="Times New Roman" w:cs="Times New Roman"/>
                <w:sz w:val="24"/>
                <w:szCs w:val="24"/>
              </w:rPr>
            </w:pPr>
            <w:r>
              <w:rPr>
                <w:rFonts w:ascii="Times New Roman" w:hAnsi="Times New Roman" w:cs="Times New Roman"/>
                <w:sz w:val="24"/>
                <w:szCs w:val="24"/>
              </w:rPr>
              <w:t>…</w:t>
            </w:r>
          </w:p>
          <w:p w:rsidR="003A5FED" w:rsidRDefault="003A5FED" w:rsidP="00E80659">
            <w:pPr>
              <w:spacing w:after="0" w:line="240" w:lineRule="exact"/>
              <w:ind w:firstLine="601"/>
              <w:jc w:val="both"/>
              <w:rPr>
                <w:rFonts w:ascii="Times New Roman" w:hAnsi="Times New Roman" w:cs="Times New Roman"/>
                <w:sz w:val="24"/>
                <w:szCs w:val="24"/>
              </w:rPr>
            </w:pPr>
            <w:r>
              <w:rPr>
                <w:rFonts w:ascii="Times New Roman" w:hAnsi="Times New Roman" w:cs="Times New Roman"/>
                <w:sz w:val="24"/>
                <w:szCs w:val="24"/>
              </w:rPr>
              <w:t xml:space="preserve">6) выполнением физическим лицом трудовых обязанностей (включая переезд на работу в другую местность и возмещение командировочных расходов). </w:t>
            </w:r>
          </w:p>
          <w:p w:rsidR="003A5FED" w:rsidRDefault="003A5FED" w:rsidP="00E80659">
            <w:pPr>
              <w:spacing w:after="0" w:line="240" w:lineRule="exact"/>
              <w:ind w:firstLine="601"/>
              <w:jc w:val="both"/>
              <w:rPr>
                <w:rFonts w:ascii="Times New Roman" w:hAnsi="Times New Roman" w:cs="Times New Roman"/>
                <w:sz w:val="24"/>
                <w:szCs w:val="24"/>
              </w:rPr>
            </w:pPr>
            <w:proofErr w:type="gramStart"/>
            <w:r>
              <w:rPr>
                <w:rFonts w:ascii="Times New Roman" w:hAnsi="Times New Roman" w:cs="Times New Roman"/>
                <w:sz w:val="24"/>
                <w:szCs w:val="24"/>
              </w:rPr>
              <w:t xml:space="preserve">При оплате организацией налогоплательщику расходов на командировки как внутри страны, так и за ее пределы, в облагаемый налогом доход не включаются суточные, в пределах норм возмещения, установленных в соответствии с действующим законодательством </w:t>
            </w:r>
            <w:r w:rsidRPr="00E80659">
              <w:rPr>
                <w:rFonts w:ascii="Times New Roman" w:hAnsi="Times New Roman" w:cs="Times New Roman"/>
                <w:spacing w:val="-2"/>
                <w:sz w:val="24"/>
                <w:szCs w:val="24"/>
              </w:rPr>
              <w:t>Приднестровской Молдавской Республики, фактически произведенные и</w:t>
            </w:r>
            <w:r>
              <w:rPr>
                <w:rFonts w:ascii="Times New Roman" w:hAnsi="Times New Roman" w:cs="Times New Roman"/>
                <w:sz w:val="24"/>
                <w:szCs w:val="24"/>
              </w:rPr>
              <w:t xml:space="preserve"> документально подтвержденные расходы на проезд до места назначения и обратно, расходы по найму жилого помещения, а также иные фактически произведенные и документально</w:t>
            </w:r>
            <w:proofErr w:type="gramEnd"/>
            <w:r>
              <w:rPr>
                <w:rFonts w:ascii="Times New Roman" w:hAnsi="Times New Roman" w:cs="Times New Roman"/>
                <w:sz w:val="24"/>
                <w:szCs w:val="24"/>
              </w:rPr>
              <w:t xml:space="preserve"> подтвержденные целевые расходы, связанные с выполнением командировочного задания. </w:t>
            </w:r>
          </w:p>
          <w:p w:rsidR="003A5FED" w:rsidRDefault="003A5FED" w:rsidP="00E80659">
            <w:pPr>
              <w:spacing w:after="0" w:line="240" w:lineRule="exact"/>
              <w:ind w:firstLine="542"/>
              <w:jc w:val="both"/>
              <w:rPr>
                <w:rFonts w:ascii="Times New Roman" w:hAnsi="Times New Roman" w:cs="Times New Roman"/>
                <w:sz w:val="24"/>
                <w:szCs w:val="24"/>
              </w:rPr>
            </w:pPr>
            <w:r>
              <w:rPr>
                <w:rFonts w:ascii="Times New Roman" w:hAnsi="Times New Roman" w:cs="Times New Roman"/>
                <w:sz w:val="24"/>
                <w:szCs w:val="24"/>
              </w:rPr>
              <w:t xml:space="preserve">При непредставлении налогоплательщиком документов, подтверждающих оплату расходов по найму жилого помещения, проездных </w:t>
            </w:r>
            <w:proofErr w:type="gramStart"/>
            <w:r>
              <w:rPr>
                <w:rFonts w:ascii="Times New Roman" w:hAnsi="Times New Roman" w:cs="Times New Roman"/>
                <w:sz w:val="24"/>
                <w:szCs w:val="24"/>
              </w:rPr>
              <w:t>билетов</w:t>
            </w:r>
            <w:proofErr w:type="gramEnd"/>
            <w:r>
              <w:rPr>
                <w:rFonts w:ascii="Times New Roman" w:hAnsi="Times New Roman" w:cs="Times New Roman"/>
                <w:sz w:val="24"/>
                <w:szCs w:val="24"/>
              </w:rPr>
              <w:t xml:space="preserve"> как по территории Приднестровской Молдавской Республики, так и за ее пределами, суммы такой оплаты освобождаются от налогообложения в пределах норм возмещения, установленных нормативными правовыми актами Приднестровской Молдавской Республики.</w:t>
            </w:r>
          </w:p>
          <w:p w:rsidR="003A5FED" w:rsidRDefault="003A5FED" w:rsidP="00E80659">
            <w:pPr>
              <w:spacing w:after="0" w:line="240" w:lineRule="exact"/>
              <w:ind w:firstLine="542"/>
              <w:jc w:val="both"/>
              <w:rPr>
                <w:rFonts w:ascii="Times New Roman" w:hAnsi="Times New Roman" w:cs="Times New Roman"/>
                <w:b/>
                <w:sz w:val="24"/>
                <w:szCs w:val="24"/>
              </w:rPr>
            </w:pPr>
            <w:proofErr w:type="gramStart"/>
            <w:r w:rsidRPr="00E80659">
              <w:rPr>
                <w:rFonts w:ascii="Times New Roman" w:hAnsi="Times New Roman" w:cs="Times New Roman"/>
                <w:b/>
                <w:spacing w:val="-2"/>
                <w:sz w:val="24"/>
                <w:szCs w:val="24"/>
              </w:rPr>
              <w:t>При оплате расходов по переезду работника по предварительной</w:t>
            </w:r>
            <w:r>
              <w:rPr>
                <w:rFonts w:ascii="Times New Roman" w:hAnsi="Times New Roman" w:cs="Times New Roman"/>
                <w:b/>
                <w:sz w:val="24"/>
                <w:szCs w:val="24"/>
              </w:rPr>
              <w:t xml:space="preserve"> договоренности с работодателем на работу</w:t>
            </w:r>
            <w:proofErr w:type="gramEnd"/>
            <w:r>
              <w:rPr>
                <w:rFonts w:ascii="Times New Roman" w:hAnsi="Times New Roman" w:cs="Times New Roman"/>
                <w:b/>
                <w:sz w:val="24"/>
                <w:szCs w:val="24"/>
              </w:rPr>
              <w:t xml:space="preserve"> в другую местность в облагаемый налогом доход не включаются расходы по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 в размере фактически понесенных и документально подтвержденных</w:t>
            </w:r>
            <w:r>
              <w:rPr>
                <w:rFonts w:ascii="Times New Roman" w:hAnsi="Times New Roman" w:cs="Times New Roman"/>
                <w:sz w:val="24"/>
                <w:szCs w:val="24"/>
              </w:rPr>
              <w:t xml:space="preserve"> </w:t>
            </w:r>
            <w:r>
              <w:rPr>
                <w:rFonts w:ascii="Times New Roman" w:hAnsi="Times New Roman" w:cs="Times New Roman"/>
                <w:b/>
                <w:sz w:val="24"/>
                <w:szCs w:val="24"/>
              </w:rPr>
              <w:t>расходов;</w:t>
            </w:r>
          </w:p>
        </w:tc>
      </w:tr>
    </w:tbl>
    <w:p w:rsidR="003D4D37" w:rsidRDefault="003D4D37" w:rsidP="003D4D37">
      <w:pPr>
        <w:spacing w:after="0" w:line="240" w:lineRule="auto"/>
        <w:rPr>
          <w:rFonts w:ascii="Times New Roman" w:hAnsi="Times New Roman" w:cs="Times New Roman"/>
          <w:sz w:val="20"/>
          <w:szCs w:val="24"/>
        </w:rPr>
      </w:pPr>
    </w:p>
    <w:p w:rsidR="007461FC" w:rsidRDefault="007461FC"/>
    <w:sectPr w:rsidR="007461FC" w:rsidSect="00E80659">
      <w:headerReference w:type="default" r:id="rId6"/>
      <w:pgSz w:w="16838" w:h="11906" w:orient="landscape"/>
      <w:pgMar w:top="1701" w:right="567" w:bottom="567" w:left="567" w:header="709" w:footer="709" w:gutter="0"/>
      <w:pgNumType w:fmt="numberInDash" w:start="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C80" w:rsidRDefault="004E3C80" w:rsidP="003D4D37">
      <w:pPr>
        <w:spacing w:after="0" w:line="240" w:lineRule="auto"/>
      </w:pPr>
      <w:r>
        <w:separator/>
      </w:r>
    </w:p>
  </w:endnote>
  <w:endnote w:type="continuationSeparator" w:id="0">
    <w:p w:rsidR="004E3C80" w:rsidRDefault="004E3C80" w:rsidP="003D4D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C80" w:rsidRDefault="004E3C80" w:rsidP="003D4D37">
      <w:pPr>
        <w:spacing w:after="0" w:line="240" w:lineRule="auto"/>
      </w:pPr>
      <w:r>
        <w:separator/>
      </w:r>
    </w:p>
  </w:footnote>
  <w:footnote w:type="continuationSeparator" w:id="0">
    <w:p w:rsidR="004E3C80" w:rsidRDefault="004E3C80" w:rsidP="003D4D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26626"/>
      <w:docPartObj>
        <w:docPartGallery w:val="Page Numbers (Top of Page)"/>
        <w:docPartUnique/>
      </w:docPartObj>
    </w:sdtPr>
    <w:sdtContent>
      <w:p w:rsidR="003D4D37" w:rsidRDefault="003D4D37">
        <w:pPr>
          <w:pStyle w:val="a4"/>
          <w:jc w:val="center"/>
        </w:pPr>
        <w:fldSimple w:instr=" PAGE   \* MERGEFORMAT ">
          <w:r w:rsidR="00E80659">
            <w:rPr>
              <w:noProof/>
            </w:rPr>
            <w:t>- 8 -</w:t>
          </w:r>
        </w:fldSimple>
      </w:p>
    </w:sdtContent>
  </w:sdt>
  <w:p w:rsidR="003D4D37" w:rsidRDefault="003D4D37">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3D4D37"/>
    <w:rsid w:val="003A5FED"/>
    <w:rsid w:val="003D4D37"/>
    <w:rsid w:val="004E3C80"/>
    <w:rsid w:val="007461FC"/>
    <w:rsid w:val="00E806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D3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Текст Знак3"/>
    <w:aliases w:val="Знак Знак,Текст Знак1 Знак,Знак Знак Знак Знак,Знак Знак Знак Знак1,Текст Знак Знак Знак Знак,Знак Знак Знак Знак Знак,Текст Знак2 Знак Знак,Текст Знак1 Знак1 Знак Знак,Текст Знак Знак Знак1 Знак Знак,Знак3 Знак,Зна Знак"/>
    <w:link w:val="a3"/>
    <w:locked/>
    <w:rsid w:val="003D4D37"/>
    <w:rPr>
      <w:rFonts w:ascii="Courier New" w:eastAsia="Times New Roman" w:hAnsi="Courier New" w:cs="Times New Roman"/>
      <w:sz w:val="20"/>
      <w:szCs w:val="20"/>
    </w:rPr>
  </w:style>
  <w:style w:type="paragraph" w:customStyle="1" w:styleId="a3">
    <w:name w:val="Plain Text"/>
    <w:aliases w:val="Знак,Текст Знак1,Знак Знак Знак,Текст Знак Знак Знак,Текст Знак2 Знак,Текст Знак1 Знак1 Знак,Текст Знак Знак Знак1 Знак,Текст Знак1 Знак Знак Знак Знак,Знак3,Текст Знак2,Текст Знак1 Знак Знак,Зна"/>
    <w:basedOn w:val="a"/>
    <w:link w:val="3"/>
    <w:rsid w:val="003D4D37"/>
    <w:pPr>
      <w:spacing w:after="0" w:line="240" w:lineRule="auto"/>
    </w:pPr>
    <w:rPr>
      <w:rFonts w:ascii="Courier New" w:eastAsia="Times New Roman" w:hAnsi="Courier New" w:cs="Times New Roman"/>
      <w:sz w:val="20"/>
      <w:szCs w:val="20"/>
      <w:lang w:eastAsia="en-US"/>
    </w:rPr>
  </w:style>
  <w:style w:type="paragraph" w:styleId="a4">
    <w:name w:val="header"/>
    <w:basedOn w:val="a"/>
    <w:link w:val="a5"/>
    <w:uiPriority w:val="99"/>
    <w:unhideWhenUsed/>
    <w:rsid w:val="003D4D3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D4D37"/>
    <w:rPr>
      <w:rFonts w:eastAsiaTheme="minorEastAsia"/>
      <w:lang w:eastAsia="ru-RU"/>
    </w:rPr>
  </w:style>
  <w:style w:type="paragraph" w:styleId="a6">
    <w:name w:val="footer"/>
    <w:basedOn w:val="a"/>
    <w:link w:val="a7"/>
    <w:uiPriority w:val="99"/>
    <w:semiHidden/>
    <w:unhideWhenUsed/>
    <w:rsid w:val="003D4D3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D4D37"/>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53357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1232</Words>
  <Characters>7024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arefieva_ts</dc:creator>
  <cp:keywords/>
  <dc:description/>
  <cp:lastModifiedBy>arefieva_ts</cp:lastModifiedBy>
  <cp:revision>2</cp:revision>
  <dcterms:created xsi:type="dcterms:W3CDTF">2018-05-31T12:21:00Z</dcterms:created>
  <dcterms:modified xsi:type="dcterms:W3CDTF">2018-05-31T13:41:00Z</dcterms:modified>
</cp:coreProperties>
</file>