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BD" w:rsidRPr="00E37206" w:rsidRDefault="008557BD" w:rsidP="00865EF9">
      <w:pPr>
        <w:shd w:val="clear" w:color="auto" w:fill="FFFFFF"/>
        <w:spacing w:line="276" w:lineRule="auto"/>
        <w:jc w:val="center"/>
        <w:rPr>
          <w:b/>
        </w:rPr>
      </w:pPr>
      <w:bookmarkStart w:id="0" w:name="_GoBack"/>
      <w:bookmarkEnd w:id="0"/>
      <w:r w:rsidRPr="00E37206">
        <w:t>Пояснительная записка</w:t>
      </w:r>
    </w:p>
    <w:p w:rsidR="008557BD" w:rsidRPr="00B343C8" w:rsidRDefault="008557BD" w:rsidP="006427B2">
      <w:pPr>
        <w:pStyle w:val="41"/>
        <w:shd w:val="clear" w:color="auto" w:fill="auto"/>
        <w:spacing w:before="0" w:after="0" w:line="276" w:lineRule="auto"/>
        <w:jc w:val="center"/>
        <w:rPr>
          <w:sz w:val="24"/>
          <w:szCs w:val="24"/>
        </w:rPr>
      </w:pPr>
      <w:r w:rsidRPr="00E37206">
        <w:rPr>
          <w:sz w:val="24"/>
          <w:szCs w:val="24"/>
        </w:rPr>
        <w:t xml:space="preserve">к </w:t>
      </w:r>
      <w:r w:rsidRPr="00B343C8">
        <w:rPr>
          <w:sz w:val="24"/>
          <w:szCs w:val="24"/>
        </w:rPr>
        <w:t>проекту закона Приднестровской Молдавской Республики</w:t>
      </w:r>
    </w:p>
    <w:p w:rsidR="008557BD" w:rsidRPr="00865EF9" w:rsidRDefault="008557BD" w:rsidP="006C5909">
      <w:pPr>
        <w:pStyle w:val="41"/>
        <w:shd w:val="clear" w:color="auto" w:fill="auto"/>
        <w:spacing w:before="0" w:after="0" w:line="276" w:lineRule="auto"/>
        <w:jc w:val="center"/>
        <w:rPr>
          <w:sz w:val="24"/>
          <w:szCs w:val="24"/>
        </w:rPr>
      </w:pPr>
      <w:r w:rsidRPr="00B343C8">
        <w:rPr>
          <w:sz w:val="24"/>
          <w:szCs w:val="24"/>
        </w:rPr>
        <w:t xml:space="preserve">«О внесении </w:t>
      </w:r>
      <w:r w:rsidR="007468E7" w:rsidRPr="00B343C8">
        <w:rPr>
          <w:sz w:val="24"/>
          <w:szCs w:val="24"/>
        </w:rPr>
        <w:t xml:space="preserve">изменения и дополнений </w:t>
      </w:r>
      <w:r w:rsidRPr="00B343C8">
        <w:rPr>
          <w:sz w:val="24"/>
          <w:szCs w:val="24"/>
        </w:rPr>
        <w:t xml:space="preserve">в </w:t>
      </w:r>
      <w:r w:rsidR="006C5909" w:rsidRPr="00B343C8">
        <w:rPr>
          <w:sz w:val="24"/>
          <w:szCs w:val="24"/>
        </w:rPr>
        <w:t>некоторые</w:t>
      </w:r>
      <w:r w:rsidR="006C5909" w:rsidRPr="00865EF9">
        <w:rPr>
          <w:sz w:val="24"/>
          <w:szCs w:val="24"/>
        </w:rPr>
        <w:t xml:space="preserve"> законодательные акты Приднестровской Молдавской Республики»</w:t>
      </w:r>
    </w:p>
    <w:p w:rsidR="008557BD" w:rsidRDefault="008557BD" w:rsidP="00170FE7">
      <w:pPr>
        <w:pStyle w:val="41"/>
        <w:shd w:val="clear" w:color="auto" w:fill="auto"/>
        <w:spacing w:before="0" w:after="0" w:line="276" w:lineRule="auto"/>
        <w:ind w:firstLine="709"/>
        <w:jc w:val="both"/>
        <w:rPr>
          <w:sz w:val="24"/>
          <w:szCs w:val="24"/>
        </w:rPr>
      </w:pPr>
    </w:p>
    <w:p w:rsidR="00EE1DC3" w:rsidRPr="00865EF9" w:rsidRDefault="00EE1DC3" w:rsidP="00170FE7">
      <w:pPr>
        <w:pStyle w:val="41"/>
        <w:shd w:val="clear" w:color="auto" w:fill="auto"/>
        <w:spacing w:before="0" w:after="0" w:line="276" w:lineRule="auto"/>
        <w:ind w:firstLine="709"/>
        <w:jc w:val="both"/>
        <w:rPr>
          <w:sz w:val="24"/>
          <w:szCs w:val="24"/>
        </w:rPr>
      </w:pPr>
    </w:p>
    <w:p w:rsidR="007B0BF7" w:rsidRDefault="00771DEF" w:rsidP="007238C1">
      <w:pPr>
        <w:tabs>
          <w:tab w:val="left" w:pos="993"/>
        </w:tabs>
        <w:spacing w:line="276" w:lineRule="auto"/>
        <w:ind w:firstLine="709"/>
        <w:jc w:val="both"/>
      </w:pPr>
      <w:r w:rsidRPr="00865EF9">
        <w:t xml:space="preserve">а) </w:t>
      </w:r>
      <w:r w:rsidR="006A153E" w:rsidRPr="00865EF9">
        <w:t>Настоящий законопроект подготовлен</w:t>
      </w:r>
      <w:r w:rsidR="006A153E" w:rsidRPr="00E37206">
        <w:t xml:space="preserve"> </w:t>
      </w:r>
      <w:r w:rsidR="007238C1" w:rsidRPr="00E37206">
        <w:t xml:space="preserve">в целях поддержки предприятий швейной отрасли посредством </w:t>
      </w:r>
      <w:r w:rsidR="007B0BF7">
        <w:t>введения моратория на повышение налогового бремени.</w:t>
      </w:r>
    </w:p>
    <w:p w:rsidR="003705F3" w:rsidRPr="00E37206" w:rsidRDefault="00FC195B" w:rsidP="00FC195B">
      <w:pPr>
        <w:tabs>
          <w:tab w:val="left" w:pos="993"/>
        </w:tabs>
        <w:spacing w:line="276" w:lineRule="auto"/>
        <w:ind w:firstLine="709"/>
        <w:jc w:val="both"/>
      </w:pPr>
      <w:r w:rsidRPr="00E37206">
        <w:t xml:space="preserve">Основанием для разработки законопроекта послужили </w:t>
      </w:r>
      <w:r w:rsidR="006427B2" w:rsidRPr="00E37206">
        <w:t>неоднократны</w:t>
      </w:r>
      <w:r w:rsidRPr="00E37206">
        <w:t>е</w:t>
      </w:r>
      <w:r w:rsidR="006427B2" w:rsidRPr="00E37206">
        <w:t xml:space="preserve"> обращени</w:t>
      </w:r>
      <w:r w:rsidRPr="00E37206">
        <w:t>я</w:t>
      </w:r>
      <w:r w:rsidR="006427B2" w:rsidRPr="00E37206">
        <w:t xml:space="preserve"> представителей швейной отрасли: ЗАО «</w:t>
      </w:r>
      <w:proofErr w:type="spellStart"/>
      <w:r w:rsidR="006427B2" w:rsidRPr="00E37206">
        <w:t>Одема</w:t>
      </w:r>
      <w:proofErr w:type="spellEnd"/>
      <w:r w:rsidR="006427B2" w:rsidRPr="00E37206">
        <w:t>» им. В. Соловьевой, ЗАО «Швейная фирма «</w:t>
      </w:r>
      <w:proofErr w:type="spellStart"/>
      <w:r w:rsidR="006427B2" w:rsidRPr="00E37206">
        <w:t>Вестра</w:t>
      </w:r>
      <w:proofErr w:type="spellEnd"/>
      <w:r w:rsidR="006427B2" w:rsidRPr="00E37206">
        <w:t>», а также РО НП «Союз промышленников, аграриев и предпринимателей»</w:t>
      </w:r>
      <w:r w:rsidR="00293395" w:rsidRPr="00E37206">
        <w:t>.</w:t>
      </w:r>
    </w:p>
    <w:p w:rsidR="001A6300" w:rsidRPr="00E37206" w:rsidRDefault="001A6300" w:rsidP="00FC195B">
      <w:pPr>
        <w:tabs>
          <w:tab w:val="left" w:pos="993"/>
        </w:tabs>
        <w:spacing w:line="276" w:lineRule="auto"/>
        <w:ind w:firstLine="709"/>
        <w:jc w:val="both"/>
      </w:pPr>
      <w:proofErr w:type="gramStart"/>
      <w:r w:rsidRPr="00E37206">
        <w:t xml:space="preserve">В соответствии с </w:t>
      </w:r>
      <w:r w:rsidR="00B95A46" w:rsidRPr="00E37206">
        <w:t>пунктом 4 статьи 7 Закона</w:t>
      </w:r>
      <w:r w:rsidRPr="00E37206">
        <w:t xml:space="preserve"> Приднестровской Молдавской Республики от 29 сентября 2011 года № 156-З-V «О налоге на доходы организаций» (САЗ 11-39) в редакции, действовавшей до 13 июня 2016 года, </w:t>
      </w:r>
      <w:r w:rsidR="00B95A46" w:rsidRPr="00E37206">
        <w:t>доходы, полученные организациями от выполнения работ, оказания услуг по переработке давальческого сырья, материалов, в результате которой производится новая движимая вещь, облагались по ставкам, установленным данным Законом для соответствующего</w:t>
      </w:r>
      <w:proofErr w:type="gramEnd"/>
      <w:r w:rsidR="00B95A46" w:rsidRPr="00E37206">
        <w:t xml:space="preserve"> вида деятельности, с учетом коэффициента 2,0.</w:t>
      </w:r>
    </w:p>
    <w:p w:rsidR="00B95A46" w:rsidRPr="00E37206" w:rsidRDefault="00B95A46" w:rsidP="00B95A46">
      <w:pPr>
        <w:tabs>
          <w:tab w:val="left" w:pos="993"/>
        </w:tabs>
        <w:spacing w:line="276" w:lineRule="auto"/>
        <w:ind w:firstLine="709"/>
        <w:jc w:val="both"/>
      </w:pPr>
      <w:proofErr w:type="gramStart"/>
      <w:r w:rsidRPr="00E37206">
        <w:t xml:space="preserve">Согласно пункту 5 статьи 1 Закона Приднестровской Молдавской Республики </w:t>
      </w:r>
      <w:r w:rsidRPr="00E37206">
        <w:rPr>
          <w:shd w:val="clear" w:color="auto" w:fill="FFFFFF"/>
        </w:rPr>
        <w:t xml:space="preserve">от 6 июня 2016 года № 149-З-VI «О </w:t>
      </w:r>
      <w:r w:rsidRPr="00E37206">
        <w:t>дополнительных мерах, направленных на стабилизацию экономики Приднестровской Молдавской Республики» (САЗ 16-23) в редакции, действовавшей до 31 декабря 2016 года, с 1 апреля 2016 года по 31 декабря 2018 года доходы, полученные организациями швейной и обувной промышленности от выполнения работ, оказания услуг по переработке давальческого</w:t>
      </w:r>
      <w:proofErr w:type="gramEnd"/>
      <w:r w:rsidRPr="00E37206">
        <w:t xml:space="preserve"> сырья, материалов, в результате которой производится новая движимая вещь, облагаются по ставкам, установленным данным Законом для соответствующего вида деятельности, с учетом коэффициента 1,7.</w:t>
      </w:r>
    </w:p>
    <w:p w:rsidR="001A6300" w:rsidRPr="00E37206" w:rsidRDefault="00B95A46" w:rsidP="00D27DE4">
      <w:pPr>
        <w:tabs>
          <w:tab w:val="left" w:pos="993"/>
        </w:tabs>
        <w:spacing w:line="276" w:lineRule="auto"/>
        <w:ind w:firstLine="709"/>
        <w:jc w:val="both"/>
      </w:pPr>
      <w:proofErr w:type="gramStart"/>
      <w:r w:rsidRPr="00E37206">
        <w:t xml:space="preserve">В данную норму Законом Приднестровской Молдавской Республики от 30 декабря 2016 года № 318-ЗИ-VI «О внесении изменения в Закон Приднестровской Молдавской Республики </w:t>
      </w:r>
      <w:r w:rsidRPr="00E37206">
        <w:rPr>
          <w:shd w:val="clear" w:color="auto" w:fill="FFFFFF"/>
        </w:rPr>
        <w:t xml:space="preserve">«О </w:t>
      </w:r>
      <w:r w:rsidRPr="00E37206">
        <w:t>дополнительных мерах, направленных на стабилизацию экономики Приднестровской Молдавской Республики» (САЗ 17-1) внесено изменение, согласно которому с 1 января 2017 года по 31 декабря 2017 года доходы, полученные организациями швейной промышленности от выполнения работ, оказания услуг по переработке давальческого</w:t>
      </w:r>
      <w:proofErr w:type="gramEnd"/>
      <w:r w:rsidRPr="00E37206">
        <w:t xml:space="preserve"> сырья, материалов, в результате которой производится новая движимая вещь, облагаются по ставкам, установленным данным Законом для соответствующего вида деятельности без применения</w:t>
      </w:r>
      <w:r w:rsidR="00D27DE4" w:rsidRPr="00E37206">
        <w:t xml:space="preserve"> повышающего</w:t>
      </w:r>
      <w:r w:rsidRPr="00E37206">
        <w:t xml:space="preserve"> коэффициента</w:t>
      </w:r>
      <w:r w:rsidR="00D27DE4" w:rsidRPr="00E37206">
        <w:t>.</w:t>
      </w:r>
    </w:p>
    <w:p w:rsidR="001A6300" w:rsidRPr="00E37206" w:rsidRDefault="00FC195B" w:rsidP="00D27DE4">
      <w:pPr>
        <w:tabs>
          <w:tab w:val="left" w:pos="993"/>
        </w:tabs>
        <w:spacing w:line="276" w:lineRule="auto"/>
        <w:ind w:firstLine="709"/>
        <w:jc w:val="both"/>
      </w:pPr>
      <w:proofErr w:type="gramStart"/>
      <w:r w:rsidRPr="00E37206">
        <w:t xml:space="preserve">При этом в соответствии с пунктом 22 </w:t>
      </w:r>
      <w:r w:rsidR="00D27DE4" w:rsidRPr="00E37206">
        <w:t xml:space="preserve">статьи 1 </w:t>
      </w:r>
      <w:r w:rsidRPr="00E37206">
        <w:t>Закона Приднестровской Молдавской Республики от 27 сентября 2017 года № 251-ЗИД-VI «О внесении изменений и дополнения в Закон Приднестровской Молдавской Республики «О налоге на доходы организаций» (САЗ 17-40) с 1 января 2018 года доходы, полученные организациями, за исключением организаций электроэнергетики, от выполнения работ по переработке давальческого сырья, материалов, в результате которой производится</w:t>
      </w:r>
      <w:proofErr w:type="gramEnd"/>
      <w:r w:rsidRPr="00E37206">
        <w:t xml:space="preserve"> новая движимая вещь, будут облагаться по ставкам, установленным данным Законом для соответствующего вида деятельности, с учетом коэффициента 1,7.</w:t>
      </w:r>
    </w:p>
    <w:p w:rsidR="001A6300" w:rsidRPr="00E37206" w:rsidRDefault="00D27DE4" w:rsidP="001A6300">
      <w:pPr>
        <w:tabs>
          <w:tab w:val="left" w:pos="993"/>
        </w:tabs>
        <w:spacing w:line="276" w:lineRule="auto"/>
        <w:ind w:firstLine="709"/>
        <w:jc w:val="both"/>
      </w:pPr>
      <w:r w:rsidRPr="00E37206">
        <w:t>Таким образом, д</w:t>
      </w:r>
      <w:r w:rsidR="001A6300" w:rsidRPr="00E37206">
        <w:t xml:space="preserve">оходы, полученные организациями швейной промышленности от выполнения работ, оказания услуг по переработке давальческого сырья, материалов, в </w:t>
      </w:r>
      <w:r w:rsidR="001A6300" w:rsidRPr="00E37206">
        <w:lastRenderedPageBreak/>
        <w:t>результате которой производится новая движимая вещь, облага</w:t>
      </w:r>
      <w:r w:rsidRPr="00E37206">
        <w:t>лись (будут облагаться)</w:t>
      </w:r>
      <w:r w:rsidR="001A6300" w:rsidRPr="00E37206">
        <w:t xml:space="preserve"> по ставке налога на доходы организаций с учётом следующих коэффициентов:</w:t>
      </w:r>
    </w:p>
    <w:p w:rsidR="001A6300" w:rsidRPr="00E37206" w:rsidRDefault="001A6300" w:rsidP="001A6300">
      <w:pPr>
        <w:tabs>
          <w:tab w:val="left" w:pos="993"/>
        </w:tabs>
        <w:spacing w:line="276" w:lineRule="auto"/>
        <w:ind w:firstLine="709"/>
        <w:jc w:val="both"/>
      </w:pPr>
      <w:r w:rsidRPr="00E37206">
        <w:t>1) 2,0 – до 31 марта 2016 года;</w:t>
      </w:r>
    </w:p>
    <w:p w:rsidR="001A6300" w:rsidRPr="00E37206" w:rsidRDefault="001A6300" w:rsidP="001A6300">
      <w:pPr>
        <w:tabs>
          <w:tab w:val="left" w:pos="993"/>
        </w:tabs>
        <w:spacing w:line="276" w:lineRule="auto"/>
        <w:ind w:firstLine="709"/>
        <w:jc w:val="both"/>
      </w:pPr>
      <w:r w:rsidRPr="00E37206">
        <w:t>2) 1,7 – в период с 1 апреля 2016 года по 31 декабря 2016 года;</w:t>
      </w:r>
    </w:p>
    <w:p w:rsidR="001A6300" w:rsidRPr="00E37206" w:rsidRDefault="001A6300" w:rsidP="001A6300">
      <w:pPr>
        <w:tabs>
          <w:tab w:val="left" w:pos="993"/>
        </w:tabs>
        <w:spacing w:line="276" w:lineRule="auto"/>
        <w:ind w:firstLine="709"/>
        <w:jc w:val="both"/>
      </w:pPr>
      <w:r w:rsidRPr="00E37206">
        <w:t>3) 1,0 – в период с 1 января 20</w:t>
      </w:r>
      <w:r w:rsidR="00D27DE4" w:rsidRPr="00E37206">
        <w:t>17 года по 31 декабря 2017 года;</w:t>
      </w:r>
    </w:p>
    <w:p w:rsidR="00D27DE4" w:rsidRPr="00E37206" w:rsidRDefault="00D27DE4" w:rsidP="001A6300">
      <w:pPr>
        <w:tabs>
          <w:tab w:val="left" w:pos="993"/>
        </w:tabs>
        <w:spacing w:line="276" w:lineRule="auto"/>
        <w:ind w:firstLine="709"/>
        <w:jc w:val="both"/>
      </w:pPr>
      <w:r w:rsidRPr="00E37206">
        <w:t>4) 1,7 – с 1 января 2018 года.</w:t>
      </w:r>
    </w:p>
    <w:p w:rsidR="00D27DE4" w:rsidRPr="00E37206" w:rsidRDefault="00D27DE4" w:rsidP="00D27DE4">
      <w:pPr>
        <w:tabs>
          <w:tab w:val="left" w:pos="993"/>
        </w:tabs>
        <w:spacing w:line="276" w:lineRule="auto"/>
        <w:ind w:firstLine="709"/>
        <w:jc w:val="both"/>
      </w:pPr>
      <w:proofErr w:type="gramStart"/>
      <w:r w:rsidRPr="00E37206">
        <w:t>Вместе с тем, на основании пункта 8 статьи 1 Закона Приднестровской Молдавской Республики от 27 сентября 2017 года № 251-ЗИД-VI «О внесении изменений и дополнения в Закон Приднестровской Молдавской Республики «О налоге на доходы организаций» (САЗ 17-40) с 1 января 2018 года доходы швейных предприятий будут облагаться по ставке 3,13 процентов против действующей ставки в размере 3,9 процентов.</w:t>
      </w:r>
      <w:proofErr w:type="gramEnd"/>
    </w:p>
    <w:p w:rsidR="00D27DE4" w:rsidRPr="00E37206" w:rsidRDefault="00D27DE4" w:rsidP="00D27DE4">
      <w:pPr>
        <w:tabs>
          <w:tab w:val="left" w:pos="993"/>
        </w:tabs>
        <w:spacing w:line="276" w:lineRule="auto"/>
        <w:ind w:firstLine="709"/>
        <w:jc w:val="both"/>
      </w:pPr>
      <w:r w:rsidRPr="00E37206">
        <w:t>Необходимо отметить, что такие представители швейной отрасли, как ЗАО «</w:t>
      </w:r>
      <w:proofErr w:type="spellStart"/>
      <w:r w:rsidRPr="00E37206">
        <w:t>Одема</w:t>
      </w:r>
      <w:proofErr w:type="spellEnd"/>
      <w:r w:rsidRPr="00E37206">
        <w:t>» им. В. Соловьевой и ЗАО «Швейная фирма «</w:t>
      </w:r>
      <w:proofErr w:type="spellStart"/>
      <w:r w:rsidRPr="00E37206">
        <w:t>Вестра</w:t>
      </w:r>
      <w:proofErr w:type="spellEnd"/>
      <w:r w:rsidRPr="00E37206">
        <w:t>», являются одними из крупнейших участников внешнеэкономической деятельности в Приднестровье. При этом основным источником доходов данных предприятий является поступление денежных средств за услуги по пошиву изделий для иностранных заказчиков на давальческом сырье.</w:t>
      </w:r>
    </w:p>
    <w:p w:rsidR="00D27DE4" w:rsidRPr="00E37206" w:rsidRDefault="00D27DE4" w:rsidP="00D27DE4">
      <w:pPr>
        <w:tabs>
          <w:tab w:val="left" w:pos="993"/>
        </w:tabs>
        <w:spacing w:line="276" w:lineRule="auto"/>
        <w:ind w:firstLine="709"/>
        <w:jc w:val="both"/>
      </w:pPr>
      <w:r w:rsidRPr="00E37206">
        <w:t>В условиях жёсткой конкуренции на рынке лёгкой промышленности Европы, предприятия швейной отрасли сталкиваются с тенденцией снижения предлагаемых заказчиками тарифов на услуги по пошиву.</w:t>
      </w:r>
      <w:r w:rsidR="0024234B" w:rsidRPr="00E37206">
        <w:t xml:space="preserve"> Это напрямую отражается на финансовом состоянии предприятий.</w:t>
      </w:r>
    </w:p>
    <w:p w:rsidR="0024234B" w:rsidRDefault="0024234B" w:rsidP="00D27DE4">
      <w:pPr>
        <w:tabs>
          <w:tab w:val="left" w:pos="993"/>
        </w:tabs>
        <w:spacing w:line="276" w:lineRule="auto"/>
        <w:ind w:firstLine="709"/>
        <w:jc w:val="both"/>
      </w:pPr>
      <w:r w:rsidRPr="00E37206">
        <w:t xml:space="preserve">Антикризисные меры, в частности, право не применять в 2017 году повышающий коэффициент позволили швейным организациям увеличить объём производства, сохранить численность работников и увеличить платежи по налогам. </w:t>
      </w:r>
      <w:r w:rsidR="00D5769E">
        <w:t>Р</w:t>
      </w:r>
      <w:r w:rsidRPr="00E37206">
        <w:t>асчёты показывают, что, благодаря антикризисным мерам, сумма налога на доходы организаций в 2017 году со</w:t>
      </w:r>
      <w:r w:rsidR="004D0E37" w:rsidRPr="00E37206">
        <w:t>поставима с</w:t>
      </w:r>
      <w:r w:rsidRPr="00E37206">
        <w:t xml:space="preserve"> величин</w:t>
      </w:r>
      <w:r w:rsidR="004D0E37" w:rsidRPr="00E37206">
        <w:t>ой</w:t>
      </w:r>
      <w:r w:rsidRPr="00E37206">
        <w:t xml:space="preserve"> налога на доходы организаций, уплаченного в 2016 году.</w:t>
      </w:r>
      <w:r w:rsidR="00875165" w:rsidRPr="00E37206">
        <w:t xml:space="preserve"> Сравнение показателей финансово-хозяйственной деятельности швейных предприятий в 2016 году, когда действовал коэффициент в размере 1,7, и в 2017 году, когда не требовалось применение повышающего коэффициента, представлено в следующей таблице.</w:t>
      </w:r>
    </w:p>
    <w:p w:rsidR="00EE1DC3" w:rsidRPr="00E37206" w:rsidRDefault="00EE1DC3" w:rsidP="00D27DE4">
      <w:pPr>
        <w:tabs>
          <w:tab w:val="left" w:pos="993"/>
        </w:tabs>
        <w:spacing w:line="276" w:lineRule="auto"/>
        <w:ind w:firstLine="709"/>
        <w:jc w:val="both"/>
      </w:pPr>
    </w:p>
    <w:p w:rsidR="00875165" w:rsidRPr="00E37206" w:rsidRDefault="004D0E37" w:rsidP="004D0E37">
      <w:pPr>
        <w:tabs>
          <w:tab w:val="left" w:pos="993"/>
        </w:tabs>
        <w:spacing w:line="276" w:lineRule="auto"/>
        <w:ind w:firstLine="709"/>
        <w:jc w:val="right"/>
      </w:pPr>
      <w:r w:rsidRPr="00E37206">
        <w:t>тыс. руб.</w:t>
      </w:r>
    </w:p>
    <w:tbl>
      <w:tblPr>
        <w:tblStyle w:val="ab"/>
        <w:tblW w:w="5000" w:type="pct"/>
        <w:tblLook w:val="04A0" w:firstRow="1" w:lastRow="0" w:firstColumn="1" w:lastColumn="0" w:noHBand="0" w:noVBand="1"/>
      </w:tblPr>
      <w:tblGrid>
        <w:gridCol w:w="2179"/>
        <w:gridCol w:w="1847"/>
        <w:gridCol w:w="1849"/>
        <w:gridCol w:w="1847"/>
        <w:gridCol w:w="1849"/>
      </w:tblGrid>
      <w:tr w:rsidR="00875165" w:rsidRPr="00E37206" w:rsidTr="00875165">
        <w:tc>
          <w:tcPr>
            <w:tcW w:w="1138" w:type="pct"/>
            <w:vMerge w:val="restart"/>
            <w:vAlign w:val="center"/>
          </w:tcPr>
          <w:p w:rsidR="00875165" w:rsidRPr="00E37206" w:rsidRDefault="00875165" w:rsidP="00875165">
            <w:pPr>
              <w:tabs>
                <w:tab w:val="left" w:pos="993"/>
              </w:tabs>
              <w:spacing w:line="276" w:lineRule="auto"/>
              <w:jc w:val="center"/>
              <w:rPr>
                <w:sz w:val="22"/>
                <w:szCs w:val="22"/>
              </w:rPr>
            </w:pPr>
            <w:r w:rsidRPr="00E37206">
              <w:rPr>
                <w:sz w:val="22"/>
                <w:szCs w:val="22"/>
              </w:rPr>
              <w:t>Показатели</w:t>
            </w:r>
          </w:p>
        </w:tc>
        <w:tc>
          <w:tcPr>
            <w:tcW w:w="1931" w:type="pct"/>
            <w:gridSpan w:val="2"/>
            <w:vAlign w:val="center"/>
          </w:tcPr>
          <w:p w:rsidR="00875165" w:rsidRPr="00E37206" w:rsidRDefault="00875165" w:rsidP="00875165">
            <w:pPr>
              <w:tabs>
                <w:tab w:val="left" w:pos="993"/>
              </w:tabs>
              <w:spacing w:line="276" w:lineRule="auto"/>
              <w:jc w:val="center"/>
              <w:rPr>
                <w:sz w:val="22"/>
                <w:szCs w:val="22"/>
              </w:rPr>
            </w:pPr>
            <w:r w:rsidRPr="00E37206">
              <w:rPr>
                <w:sz w:val="22"/>
                <w:szCs w:val="22"/>
              </w:rPr>
              <w:t>ЗАО «Швейная фирма «</w:t>
            </w:r>
            <w:proofErr w:type="spellStart"/>
            <w:r w:rsidRPr="00E37206">
              <w:rPr>
                <w:sz w:val="22"/>
                <w:szCs w:val="22"/>
              </w:rPr>
              <w:t>Вестра</w:t>
            </w:r>
            <w:proofErr w:type="spellEnd"/>
            <w:r w:rsidRPr="00E37206">
              <w:rPr>
                <w:sz w:val="22"/>
                <w:szCs w:val="22"/>
              </w:rPr>
              <w:t>»</w:t>
            </w:r>
          </w:p>
        </w:tc>
        <w:tc>
          <w:tcPr>
            <w:tcW w:w="1931" w:type="pct"/>
            <w:gridSpan w:val="2"/>
            <w:vAlign w:val="center"/>
          </w:tcPr>
          <w:p w:rsidR="00875165" w:rsidRPr="00FF62DD" w:rsidRDefault="00875165" w:rsidP="00875165">
            <w:pPr>
              <w:tabs>
                <w:tab w:val="left" w:pos="993"/>
              </w:tabs>
              <w:spacing w:line="276" w:lineRule="auto"/>
              <w:jc w:val="center"/>
              <w:rPr>
                <w:sz w:val="22"/>
                <w:szCs w:val="22"/>
              </w:rPr>
            </w:pPr>
            <w:r w:rsidRPr="00FF62DD">
              <w:rPr>
                <w:sz w:val="22"/>
                <w:szCs w:val="22"/>
              </w:rPr>
              <w:t>ЗАО «</w:t>
            </w:r>
            <w:proofErr w:type="spellStart"/>
            <w:r w:rsidRPr="00FF62DD">
              <w:rPr>
                <w:sz w:val="22"/>
                <w:szCs w:val="22"/>
              </w:rPr>
              <w:t>Одема</w:t>
            </w:r>
            <w:proofErr w:type="spellEnd"/>
            <w:r w:rsidRPr="00FF62DD">
              <w:rPr>
                <w:sz w:val="22"/>
                <w:szCs w:val="22"/>
              </w:rPr>
              <w:t>» им. В. Соловьевой</w:t>
            </w:r>
          </w:p>
        </w:tc>
      </w:tr>
      <w:tr w:rsidR="00875165" w:rsidRPr="00E37206" w:rsidTr="004D0E37">
        <w:tc>
          <w:tcPr>
            <w:tcW w:w="1138" w:type="pct"/>
            <w:vMerge/>
            <w:vAlign w:val="center"/>
          </w:tcPr>
          <w:p w:rsidR="00875165" w:rsidRPr="00E37206" w:rsidRDefault="00875165" w:rsidP="00875165">
            <w:pPr>
              <w:tabs>
                <w:tab w:val="left" w:pos="993"/>
              </w:tabs>
              <w:spacing w:line="276" w:lineRule="auto"/>
              <w:jc w:val="center"/>
              <w:rPr>
                <w:sz w:val="22"/>
                <w:szCs w:val="22"/>
              </w:rPr>
            </w:pPr>
          </w:p>
        </w:tc>
        <w:tc>
          <w:tcPr>
            <w:tcW w:w="965" w:type="pct"/>
            <w:vAlign w:val="center"/>
          </w:tcPr>
          <w:p w:rsidR="00875165" w:rsidRPr="00E37206" w:rsidRDefault="00875165" w:rsidP="00875165">
            <w:pPr>
              <w:tabs>
                <w:tab w:val="left" w:pos="993"/>
              </w:tabs>
              <w:spacing w:line="276" w:lineRule="auto"/>
              <w:jc w:val="center"/>
              <w:rPr>
                <w:sz w:val="22"/>
                <w:szCs w:val="22"/>
              </w:rPr>
            </w:pPr>
            <w:r w:rsidRPr="00E37206">
              <w:rPr>
                <w:sz w:val="22"/>
                <w:szCs w:val="22"/>
              </w:rPr>
              <w:t>2016 год, факт.</w:t>
            </w:r>
          </w:p>
        </w:tc>
        <w:tc>
          <w:tcPr>
            <w:tcW w:w="966" w:type="pct"/>
            <w:vAlign w:val="center"/>
          </w:tcPr>
          <w:p w:rsidR="00875165" w:rsidRPr="00E37206" w:rsidRDefault="00875165" w:rsidP="00544FAB">
            <w:pPr>
              <w:tabs>
                <w:tab w:val="left" w:pos="993"/>
              </w:tabs>
              <w:spacing w:line="276" w:lineRule="auto"/>
              <w:jc w:val="center"/>
              <w:rPr>
                <w:sz w:val="22"/>
                <w:szCs w:val="22"/>
              </w:rPr>
            </w:pPr>
            <w:r w:rsidRPr="00E37206">
              <w:rPr>
                <w:sz w:val="22"/>
                <w:szCs w:val="22"/>
              </w:rPr>
              <w:t xml:space="preserve">2017 год, </w:t>
            </w:r>
            <w:r w:rsidR="00544FAB">
              <w:rPr>
                <w:sz w:val="22"/>
                <w:szCs w:val="22"/>
              </w:rPr>
              <w:t>факт</w:t>
            </w:r>
            <w:r w:rsidRPr="00E37206">
              <w:rPr>
                <w:sz w:val="22"/>
                <w:szCs w:val="22"/>
              </w:rPr>
              <w:t>.</w:t>
            </w:r>
          </w:p>
        </w:tc>
        <w:tc>
          <w:tcPr>
            <w:tcW w:w="965" w:type="pct"/>
            <w:vAlign w:val="center"/>
          </w:tcPr>
          <w:p w:rsidR="00875165" w:rsidRPr="00FF62DD" w:rsidRDefault="00875165" w:rsidP="00875165">
            <w:pPr>
              <w:tabs>
                <w:tab w:val="left" w:pos="993"/>
              </w:tabs>
              <w:spacing w:line="276" w:lineRule="auto"/>
              <w:jc w:val="center"/>
              <w:rPr>
                <w:sz w:val="22"/>
                <w:szCs w:val="22"/>
              </w:rPr>
            </w:pPr>
            <w:r w:rsidRPr="00FF62DD">
              <w:rPr>
                <w:sz w:val="22"/>
                <w:szCs w:val="22"/>
              </w:rPr>
              <w:t>2016 год, факт.</w:t>
            </w:r>
          </w:p>
        </w:tc>
        <w:tc>
          <w:tcPr>
            <w:tcW w:w="966" w:type="pct"/>
            <w:vAlign w:val="center"/>
          </w:tcPr>
          <w:p w:rsidR="00875165" w:rsidRPr="00FF62DD" w:rsidRDefault="00875165" w:rsidP="001C547F">
            <w:pPr>
              <w:tabs>
                <w:tab w:val="left" w:pos="993"/>
              </w:tabs>
              <w:spacing w:line="276" w:lineRule="auto"/>
              <w:jc w:val="center"/>
              <w:rPr>
                <w:sz w:val="22"/>
                <w:szCs w:val="22"/>
              </w:rPr>
            </w:pPr>
            <w:r w:rsidRPr="00FF62DD">
              <w:rPr>
                <w:sz w:val="22"/>
                <w:szCs w:val="22"/>
              </w:rPr>
              <w:t xml:space="preserve">2017 год, </w:t>
            </w:r>
            <w:r w:rsidR="001C547F" w:rsidRPr="00FF62DD">
              <w:rPr>
                <w:sz w:val="22"/>
                <w:szCs w:val="22"/>
              </w:rPr>
              <w:t>факт</w:t>
            </w:r>
            <w:r w:rsidRPr="00FF62DD">
              <w:rPr>
                <w:sz w:val="22"/>
                <w:szCs w:val="22"/>
              </w:rPr>
              <w:t>.</w:t>
            </w:r>
          </w:p>
        </w:tc>
      </w:tr>
      <w:tr w:rsidR="00544FAB" w:rsidRPr="00E37206" w:rsidTr="004D0E37">
        <w:tc>
          <w:tcPr>
            <w:tcW w:w="1138" w:type="pct"/>
          </w:tcPr>
          <w:p w:rsidR="00544FAB" w:rsidRPr="00E37206" w:rsidRDefault="00544FAB" w:rsidP="001A11D2">
            <w:pPr>
              <w:tabs>
                <w:tab w:val="left" w:pos="993"/>
              </w:tabs>
              <w:spacing w:line="276" w:lineRule="auto"/>
              <w:jc w:val="both"/>
              <w:rPr>
                <w:sz w:val="22"/>
                <w:szCs w:val="22"/>
              </w:rPr>
            </w:pPr>
            <w:r>
              <w:rPr>
                <w:sz w:val="22"/>
                <w:szCs w:val="22"/>
              </w:rPr>
              <w:t xml:space="preserve">Доходы </w:t>
            </w:r>
            <w:r w:rsidR="001A11D2">
              <w:rPr>
                <w:sz w:val="22"/>
                <w:szCs w:val="22"/>
              </w:rPr>
              <w:t>от</w:t>
            </w:r>
            <w:r>
              <w:rPr>
                <w:sz w:val="22"/>
                <w:szCs w:val="22"/>
              </w:rPr>
              <w:t xml:space="preserve"> продаж</w:t>
            </w:r>
          </w:p>
        </w:tc>
        <w:tc>
          <w:tcPr>
            <w:tcW w:w="965" w:type="pct"/>
            <w:vAlign w:val="center"/>
          </w:tcPr>
          <w:p w:rsidR="00544FAB" w:rsidRPr="00E37206" w:rsidRDefault="00544FAB" w:rsidP="00875165">
            <w:pPr>
              <w:tabs>
                <w:tab w:val="left" w:pos="993"/>
              </w:tabs>
              <w:spacing w:line="276" w:lineRule="auto"/>
              <w:jc w:val="center"/>
              <w:rPr>
                <w:sz w:val="22"/>
                <w:szCs w:val="22"/>
              </w:rPr>
            </w:pPr>
            <w:r>
              <w:rPr>
                <w:sz w:val="22"/>
                <w:szCs w:val="22"/>
              </w:rPr>
              <w:t>26 904,6</w:t>
            </w:r>
          </w:p>
        </w:tc>
        <w:tc>
          <w:tcPr>
            <w:tcW w:w="966" w:type="pct"/>
            <w:vAlign w:val="center"/>
          </w:tcPr>
          <w:p w:rsidR="00544FAB" w:rsidRPr="00E37206" w:rsidRDefault="00544FAB" w:rsidP="00875165">
            <w:pPr>
              <w:tabs>
                <w:tab w:val="left" w:pos="993"/>
              </w:tabs>
              <w:spacing w:line="276" w:lineRule="auto"/>
              <w:jc w:val="center"/>
              <w:rPr>
                <w:sz w:val="22"/>
                <w:szCs w:val="22"/>
              </w:rPr>
            </w:pPr>
            <w:r>
              <w:rPr>
                <w:sz w:val="22"/>
                <w:szCs w:val="22"/>
              </w:rPr>
              <w:t>28 953,2</w:t>
            </w:r>
          </w:p>
        </w:tc>
        <w:tc>
          <w:tcPr>
            <w:tcW w:w="965" w:type="pct"/>
            <w:vAlign w:val="center"/>
          </w:tcPr>
          <w:p w:rsidR="00544FAB" w:rsidRPr="004E5A71" w:rsidRDefault="001A11D2" w:rsidP="004D0E37">
            <w:pPr>
              <w:tabs>
                <w:tab w:val="left" w:pos="993"/>
              </w:tabs>
              <w:spacing w:line="276" w:lineRule="auto"/>
              <w:jc w:val="center"/>
              <w:rPr>
                <w:sz w:val="22"/>
                <w:szCs w:val="22"/>
              </w:rPr>
            </w:pPr>
            <w:r w:rsidRPr="004E5A71">
              <w:rPr>
                <w:sz w:val="22"/>
                <w:szCs w:val="22"/>
              </w:rPr>
              <w:t>25 156,1</w:t>
            </w:r>
          </w:p>
        </w:tc>
        <w:tc>
          <w:tcPr>
            <w:tcW w:w="966" w:type="pct"/>
            <w:vAlign w:val="center"/>
          </w:tcPr>
          <w:p w:rsidR="00544FAB" w:rsidRPr="004E5A71" w:rsidRDefault="001A11D2" w:rsidP="004D0E37">
            <w:pPr>
              <w:tabs>
                <w:tab w:val="left" w:pos="993"/>
              </w:tabs>
              <w:spacing w:line="276" w:lineRule="auto"/>
              <w:jc w:val="center"/>
              <w:rPr>
                <w:sz w:val="22"/>
                <w:szCs w:val="22"/>
              </w:rPr>
            </w:pPr>
            <w:r w:rsidRPr="004E5A71">
              <w:rPr>
                <w:sz w:val="22"/>
                <w:szCs w:val="22"/>
              </w:rPr>
              <w:t>30 979,3</w:t>
            </w:r>
          </w:p>
        </w:tc>
      </w:tr>
      <w:tr w:rsidR="00875165" w:rsidRPr="00E37206" w:rsidTr="004D0E37">
        <w:tc>
          <w:tcPr>
            <w:tcW w:w="1138" w:type="pct"/>
          </w:tcPr>
          <w:p w:rsidR="00875165" w:rsidRPr="00E37206" w:rsidRDefault="00875165" w:rsidP="00D27DE4">
            <w:pPr>
              <w:tabs>
                <w:tab w:val="left" w:pos="993"/>
              </w:tabs>
              <w:spacing w:line="276" w:lineRule="auto"/>
              <w:jc w:val="both"/>
              <w:rPr>
                <w:sz w:val="22"/>
                <w:szCs w:val="22"/>
              </w:rPr>
            </w:pPr>
            <w:r w:rsidRPr="00E37206">
              <w:rPr>
                <w:sz w:val="22"/>
                <w:szCs w:val="22"/>
              </w:rPr>
              <w:t>Чистая прибыль</w:t>
            </w:r>
            <w:r w:rsidR="004D0E37" w:rsidRPr="00E37206">
              <w:rPr>
                <w:sz w:val="22"/>
                <w:szCs w:val="22"/>
              </w:rPr>
              <w:t xml:space="preserve"> (убыток)</w:t>
            </w:r>
          </w:p>
        </w:tc>
        <w:tc>
          <w:tcPr>
            <w:tcW w:w="965" w:type="pct"/>
            <w:vAlign w:val="center"/>
          </w:tcPr>
          <w:p w:rsidR="00875165" w:rsidRPr="00E37206" w:rsidRDefault="00875165" w:rsidP="00544FAB">
            <w:pPr>
              <w:tabs>
                <w:tab w:val="left" w:pos="993"/>
              </w:tabs>
              <w:spacing w:line="276" w:lineRule="auto"/>
              <w:jc w:val="center"/>
              <w:rPr>
                <w:sz w:val="22"/>
                <w:szCs w:val="22"/>
              </w:rPr>
            </w:pPr>
            <w:r w:rsidRPr="00E37206">
              <w:rPr>
                <w:sz w:val="22"/>
                <w:szCs w:val="22"/>
              </w:rPr>
              <w:t>1 786,</w:t>
            </w:r>
            <w:r w:rsidR="00544FAB">
              <w:rPr>
                <w:sz w:val="22"/>
                <w:szCs w:val="22"/>
              </w:rPr>
              <w:t>9</w:t>
            </w:r>
          </w:p>
        </w:tc>
        <w:tc>
          <w:tcPr>
            <w:tcW w:w="966" w:type="pct"/>
            <w:vAlign w:val="center"/>
          </w:tcPr>
          <w:p w:rsidR="00875165" w:rsidRPr="00E37206" w:rsidRDefault="00544FAB" w:rsidP="00875165">
            <w:pPr>
              <w:tabs>
                <w:tab w:val="left" w:pos="993"/>
              </w:tabs>
              <w:spacing w:line="276" w:lineRule="auto"/>
              <w:jc w:val="center"/>
              <w:rPr>
                <w:sz w:val="22"/>
                <w:szCs w:val="22"/>
              </w:rPr>
            </w:pPr>
            <w:r>
              <w:rPr>
                <w:sz w:val="22"/>
                <w:szCs w:val="22"/>
              </w:rPr>
              <w:t>2 765,6</w:t>
            </w:r>
          </w:p>
        </w:tc>
        <w:tc>
          <w:tcPr>
            <w:tcW w:w="965" w:type="pct"/>
            <w:vAlign w:val="center"/>
          </w:tcPr>
          <w:p w:rsidR="00875165" w:rsidRPr="004E5A71" w:rsidRDefault="004D0E37" w:rsidP="004E5A71">
            <w:pPr>
              <w:tabs>
                <w:tab w:val="left" w:pos="993"/>
              </w:tabs>
              <w:spacing w:line="276" w:lineRule="auto"/>
              <w:jc w:val="center"/>
              <w:rPr>
                <w:sz w:val="22"/>
                <w:szCs w:val="22"/>
              </w:rPr>
            </w:pPr>
            <w:r w:rsidRPr="004E5A71">
              <w:rPr>
                <w:sz w:val="22"/>
                <w:szCs w:val="22"/>
              </w:rPr>
              <w:t>- 93</w:t>
            </w:r>
            <w:r w:rsidR="004E5A71" w:rsidRPr="004E5A71">
              <w:rPr>
                <w:sz w:val="22"/>
                <w:szCs w:val="22"/>
              </w:rPr>
              <w:t>7</w:t>
            </w:r>
            <w:r w:rsidRPr="004E5A71">
              <w:rPr>
                <w:sz w:val="22"/>
                <w:szCs w:val="22"/>
              </w:rPr>
              <w:t>,</w:t>
            </w:r>
            <w:r w:rsidR="004E5A71" w:rsidRPr="004E5A71">
              <w:rPr>
                <w:sz w:val="22"/>
                <w:szCs w:val="22"/>
              </w:rPr>
              <w:t>0</w:t>
            </w:r>
          </w:p>
        </w:tc>
        <w:tc>
          <w:tcPr>
            <w:tcW w:w="966" w:type="pct"/>
            <w:vAlign w:val="center"/>
          </w:tcPr>
          <w:p w:rsidR="00875165" w:rsidRPr="004E5A71" w:rsidRDefault="00FF62DD" w:rsidP="004D0E37">
            <w:pPr>
              <w:tabs>
                <w:tab w:val="left" w:pos="993"/>
              </w:tabs>
              <w:spacing w:line="276" w:lineRule="auto"/>
              <w:jc w:val="center"/>
              <w:rPr>
                <w:sz w:val="22"/>
                <w:szCs w:val="22"/>
              </w:rPr>
            </w:pPr>
            <w:r w:rsidRPr="004E5A71">
              <w:rPr>
                <w:sz w:val="22"/>
                <w:szCs w:val="22"/>
              </w:rPr>
              <w:t>2 515,3</w:t>
            </w:r>
          </w:p>
        </w:tc>
      </w:tr>
      <w:tr w:rsidR="00875165" w:rsidRPr="00E37206" w:rsidTr="004D0E37">
        <w:tc>
          <w:tcPr>
            <w:tcW w:w="1138" w:type="pct"/>
          </w:tcPr>
          <w:p w:rsidR="00875165" w:rsidRPr="00E37206" w:rsidRDefault="00875165" w:rsidP="00D27DE4">
            <w:pPr>
              <w:tabs>
                <w:tab w:val="left" w:pos="993"/>
              </w:tabs>
              <w:spacing w:line="276" w:lineRule="auto"/>
              <w:jc w:val="both"/>
              <w:rPr>
                <w:sz w:val="22"/>
                <w:szCs w:val="22"/>
              </w:rPr>
            </w:pPr>
            <w:r w:rsidRPr="00E37206">
              <w:rPr>
                <w:sz w:val="22"/>
                <w:szCs w:val="22"/>
              </w:rPr>
              <w:t>Налог на доходы организаций</w:t>
            </w:r>
          </w:p>
        </w:tc>
        <w:tc>
          <w:tcPr>
            <w:tcW w:w="965" w:type="pct"/>
            <w:vAlign w:val="center"/>
          </w:tcPr>
          <w:p w:rsidR="00875165" w:rsidRPr="00E37206" w:rsidRDefault="00875165" w:rsidP="00875165">
            <w:pPr>
              <w:tabs>
                <w:tab w:val="left" w:pos="993"/>
              </w:tabs>
              <w:spacing w:line="276" w:lineRule="auto"/>
              <w:jc w:val="center"/>
              <w:rPr>
                <w:sz w:val="22"/>
                <w:szCs w:val="22"/>
              </w:rPr>
            </w:pPr>
            <w:r w:rsidRPr="00E37206">
              <w:rPr>
                <w:sz w:val="22"/>
                <w:szCs w:val="22"/>
              </w:rPr>
              <w:t>1 473,1</w:t>
            </w:r>
          </w:p>
        </w:tc>
        <w:tc>
          <w:tcPr>
            <w:tcW w:w="966" w:type="pct"/>
            <w:vAlign w:val="center"/>
          </w:tcPr>
          <w:p w:rsidR="00875165" w:rsidRPr="00E37206" w:rsidRDefault="00875165" w:rsidP="00544FAB">
            <w:pPr>
              <w:tabs>
                <w:tab w:val="left" w:pos="993"/>
              </w:tabs>
              <w:spacing w:line="276" w:lineRule="auto"/>
              <w:jc w:val="center"/>
              <w:rPr>
                <w:sz w:val="22"/>
                <w:szCs w:val="22"/>
              </w:rPr>
            </w:pPr>
            <w:r w:rsidRPr="00E37206">
              <w:rPr>
                <w:sz w:val="22"/>
                <w:szCs w:val="22"/>
              </w:rPr>
              <w:t>1</w:t>
            </w:r>
            <w:r w:rsidR="00544FAB">
              <w:rPr>
                <w:sz w:val="22"/>
                <w:szCs w:val="22"/>
              </w:rPr>
              <w:t> 606,6</w:t>
            </w:r>
          </w:p>
        </w:tc>
        <w:tc>
          <w:tcPr>
            <w:tcW w:w="965" w:type="pct"/>
            <w:vAlign w:val="center"/>
          </w:tcPr>
          <w:p w:rsidR="00875165" w:rsidRPr="004E5A71" w:rsidRDefault="00FF62DD" w:rsidP="004E5A71">
            <w:pPr>
              <w:tabs>
                <w:tab w:val="left" w:pos="993"/>
              </w:tabs>
              <w:spacing w:line="276" w:lineRule="auto"/>
              <w:jc w:val="center"/>
              <w:rPr>
                <w:sz w:val="22"/>
                <w:szCs w:val="22"/>
              </w:rPr>
            </w:pPr>
            <w:r w:rsidRPr="004E5A71">
              <w:rPr>
                <w:sz w:val="22"/>
                <w:szCs w:val="22"/>
              </w:rPr>
              <w:t>1</w:t>
            </w:r>
            <w:r w:rsidR="004E5A71" w:rsidRPr="004E5A71">
              <w:rPr>
                <w:sz w:val="22"/>
                <w:szCs w:val="22"/>
              </w:rPr>
              <w:t> 698,1</w:t>
            </w:r>
          </w:p>
        </w:tc>
        <w:tc>
          <w:tcPr>
            <w:tcW w:w="966" w:type="pct"/>
            <w:vAlign w:val="center"/>
          </w:tcPr>
          <w:p w:rsidR="00875165" w:rsidRPr="004E5A71" w:rsidRDefault="000F644C" w:rsidP="004E5A71">
            <w:pPr>
              <w:tabs>
                <w:tab w:val="left" w:pos="993"/>
              </w:tabs>
              <w:spacing w:line="276" w:lineRule="auto"/>
              <w:jc w:val="center"/>
              <w:rPr>
                <w:sz w:val="22"/>
                <w:szCs w:val="22"/>
              </w:rPr>
            </w:pPr>
            <w:r w:rsidRPr="004E5A71">
              <w:rPr>
                <w:sz w:val="22"/>
                <w:szCs w:val="22"/>
              </w:rPr>
              <w:t>1 638,</w:t>
            </w:r>
            <w:r w:rsidR="004E5A71" w:rsidRPr="004E5A71">
              <w:rPr>
                <w:sz w:val="22"/>
                <w:szCs w:val="22"/>
              </w:rPr>
              <w:t>9</w:t>
            </w:r>
          </w:p>
        </w:tc>
      </w:tr>
    </w:tbl>
    <w:p w:rsidR="00875165" w:rsidRDefault="00875165" w:rsidP="00D27DE4">
      <w:pPr>
        <w:tabs>
          <w:tab w:val="left" w:pos="993"/>
        </w:tabs>
        <w:spacing w:line="276" w:lineRule="auto"/>
        <w:ind w:firstLine="709"/>
        <w:jc w:val="both"/>
      </w:pPr>
    </w:p>
    <w:p w:rsidR="00EE1DC3" w:rsidRPr="00E37206" w:rsidRDefault="00EE1DC3" w:rsidP="00D27DE4">
      <w:pPr>
        <w:tabs>
          <w:tab w:val="left" w:pos="993"/>
        </w:tabs>
        <w:spacing w:line="276" w:lineRule="auto"/>
        <w:ind w:firstLine="709"/>
        <w:jc w:val="both"/>
      </w:pPr>
    </w:p>
    <w:p w:rsidR="00875165" w:rsidRPr="00E37206" w:rsidRDefault="004D0E37" w:rsidP="00D27DE4">
      <w:pPr>
        <w:tabs>
          <w:tab w:val="left" w:pos="993"/>
        </w:tabs>
        <w:spacing w:line="276" w:lineRule="auto"/>
        <w:ind w:firstLine="709"/>
        <w:jc w:val="both"/>
      </w:pPr>
      <w:r w:rsidRPr="00E37206">
        <w:t xml:space="preserve">Таким образом, несмотря на снижение налоговой нагрузки на швейные предприятия в 2017 году, годовая сумма налога на доходы организаций </w:t>
      </w:r>
      <w:r w:rsidRPr="00FF62DD">
        <w:t>у ЗАО «</w:t>
      </w:r>
      <w:proofErr w:type="spellStart"/>
      <w:r w:rsidRPr="00FF62DD">
        <w:t>Одема</w:t>
      </w:r>
      <w:proofErr w:type="spellEnd"/>
      <w:r w:rsidRPr="00FF62DD">
        <w:t>» им. В. Соловьевой снизилась незначительно</w:t>
      </w:r>
      <w:r w:rsidRPr="00E37206">
        <w:t>, а у ЗАО «Швейная фирма «</w:t>
      </w:r>
      <w:proofErr w:type="spellStart"/>
      <w:r w:rsidRPr="00E37206">
        <w:t>Вестра</w:t>
      </w:r>
      <w:proofErr w:type="spellEnd"/>
      <w:r w:rsidRPr="00E37206">
        <w:t>», напротив, увеличилась.</w:t>
      </w:r>
    </w:p>
    <w:p w:rsidR="004D0E37" w:rsidRPr="00E37206" w:rsidRDefault="004D0E37" w:rsidP="00D27DE4">
      <w:pPr>
        <w:tabs>
          <w:tab w:val="left" w:pos="993"/>
        </w:tabs>
        <w:spacing w:line="276" w:lineRule="auto"/>
        <w:ind w:firstLine="709"/>
        <w:jc w:val="both"/>
      </w:pPr>
      <w:r w:rsidRPr="00FF62DD">
        <w:t>При этом следует отметить рост показателей финансовых результатов</w:t>
      </w:r>
      <w:r w:rsidR="00A1293D" w:rsidRPr="00FF62DD">
        <w:t>. Получив убыток по итогам 2016 года, ЗАО «</w:t>
      </w:r>
      <w:proofErr w:type="spellStart"/>
      <w:r w:rsidR="00A1293D" w:rsidRPr="00FF62DD">
        <w:t>Одема</w:t>
      </w:r>
      <w:proofErr w:type="spellEnd"/>
      <w:r w:rsidR="00A1293D" w:rsidRPr="00FF62DD">
        <w:t xml:space="preserve">» им. В. Соловьевой в 2017 году улучшило </w:t>
      </w:r>
      <w:r w:rsidR="00A1293D" w:rsidRPr="00FF62DD">
        <w:lastRenderedPageBreak/>
        <w:t>финансовое положение, а результат деятельности характеризуется образованием чистой прибыли в размере более 2</w:t>
      </w:r>
      <w:r w:rsidR="00FF62DD" w:rsidRPr="00FF62DD">
        <w:t>,5</w:t>
      </w:r>
      <w:r w:rsidR="00A1293D" w:rsidRPr="00FF62DD">
        <w:t xml:space="preserve"> </w:t>
      </w:r>
      <w:proofErr w:type="gramStart"/>
      <w:r w:rsidR="00A1293D" w:rsidRPr="00FF62DD">
        <w:t>млн</w:t>
      </w:r>
      <w:proofErr w:type="gramEnd"/>
      <w:r w:rsidR="00A1293D" w:rsidRPr="00FF62DD">
        <w:t xml:space="preserve"> руб. ЗАО</w:t>
      </w:r>
      <w:r w:rsidR="00A1293D" w:rsidRPr="00E37206">
        <w:t xml:space="preserve"> «Швейная фирма «</w:t>
      </w:r>
      <w:proofErr w:type="spellStart"/>
      <w:r w:rsidR="00A1293D" w:rsidRPr="00E37206">
        <w:t>Вестра</w:t>
      </w:r>
      <w:proofErr w:type="spellEnd"/>
      <w:r w:rsidR="00A1293D" w:rsidRPr="00E37206">
        <w:t xml:space="preserve">» повысило финансовые результаты на </w:t>
      </w:r>
      <w:r w:rsidR="001C547F">
        <w:t>54,8</w:t>
      </w:r>
      <w:r w:rsidR="00A1293D" w:rsidRPr="00E37206">
        <w:t>%.</w:t>
      </w:r>
    </w:p>
    <w:p w:rsidR="00A1293D" w:rsidRPr="00E37206" w:rsidRDefault="00A1293D" w:rsidP="00D27DE4">
      <w:pPr>
        <w:tabs>
          <w:tab w:val="left" w:pos="993"/>
        </w:tabs>
        <w:spacing w:line="276" w:lineRule="auto"/>
        <w:ind w:firstLine="709"/>
        <w:jc w:val="both"/>
      </w:pPr>
      <w:r w:rsidRPr="00E37206">
        <w:t>Первостепенными задачами предприятий в 2018 году являются замена и модернизация износившегося и устаревшего об</w:t>
      </w:r>
      <w:r w:rsidR="00F81D3D" w:rsidRPr="00E37206">
        <w:t>орудования, а также сохранение и увеличение численности работающего коллектива, что</w:t>
      </w:r>
      <w:r w:rsidR="009C6DFA" w:rsidRPr="00E37206">
        <w:t xml:space="preserve"> поспособствует увеличению отчисляемых в бюджет сумм единого социального налога и подоходного налога с физических лиц.</w:t>
      </w:r>
    </w:p>
    <w:p w:rsidR="001A6300" w:rsidRPr="00E37206" w:rsidRDefault="009C6DFA" w:rsidP="00FC195B">
      <w:pPr>
        <w:tabs>
          <w:tab w:val="left" w:pos="993"/>
        </w:tabs>
        <w:spacing w:line="276" w:lineRule="auto"/>
        <w:ind w:firstLine="709"/>
        <w:jc w:val="both"/>
      </w:pPr>
      <w:r w:rsidRPr="00E37206">
        <w:t>Таким образом, даже если суммы налога на доходы организаций по итогам 2018 года снизятся, то это будет компенсировано увеличением других налоговых платежей: единого социального налога и подоходного налога с физических лиц.</w:t>
      </w:r>
    </w:p>
    <w:p w:rsidR="009C6DFA" w:rsidRPr="00E37206" w:rsidRDefault="009C6DFA" w:rsidP="00D5769E">
      <w:pPr>
        <w:tabs>
          <w:tab w:val="left" w:pos="993"/>
        </w:tabs>
        <w:spacing w:line="276" w:lineRule="auto"/>
        <w:ind w:firstLine="709"/>
        <w:jc w:val="both"/>
      </w:pPr>
      <w:r w:rsidRPr="00E37206">
        <w:t>Именно поэтому Правительство Приднестровской Молдавской Республики предлагает не просто</w:t>
      </w:r>
      <w:r w:rsidR="00D5769E">
        <w:t xml:space="preserve"> снизить на 2018 год размер повышающего коэффициента для швейных предприятий</w:t>
      </w:r>
      <w:r w:rsidRPr="00E37206">
        <w:t xml:space="preserve">, а </w:t>
      </w:r>
      <w:proofErr w:type="gramStart"/>
      <w:r w:rsidRPr="00E37206">
        <w:t>установить определённые условия</w:t>
      </w:r>
      <w:proofErr w:type="gramEnd"/>
      <w:r w:rsidRPr="00E37206">
        <w:t xml:space="preserve"> ис</w:t>
      </w:r>
      <w:r w:rsidR="008E707D" w:rsidRPr="00E37206">
        <w:t xml:space="preserve">пользования льготы, в частности, </w:t>
      </w:r>
      <w:r w:rsidRPr="00E37206">
        <w:t>недопущение снижения сов</w:t>
      </w:r>
      <w:r w:rsidR="008E707D" w:rsidRPr="00E37206">
        <w:t>окупных сумм налоговых платежей.</w:t>
      </w:r>
    </w:p>
    <w:p w:rsidR="009C6DFA" w:rsidRPr="00E37206" w:rsidRDefault="009C6DFA" w:rsidP="001C547F">
      <w:pPr>
        <w:spacing w:line="276" w:lineRule="auto"/>
        <w:ind w:firstLine="709"/>
        <w:jc w:val="both"/>
      </w:pPr>
      <w:proofErr w:type="gramStart"/>
      <w:r w:rsidRPr="00E37206">
        <w:t>Гарантией направления прибыли на развитие производственного потенциала стан</w:t>
      </w:r>
      <w:r w:rsidR="00B67F00" w:rsidRPr="00E37206">
        <w:t>е</w:t>
      </w:r>
      <w:r w:rsidRPr="00E37206">
        <w:t>т так</w:t>
      </w:r>
      <w:r w:rsidR="00B67F00" w:rsidRPr="00E37206">
        <w:t>о</w:t>
      </w:r>
      <w:r w:rsidRPr="00E37206">
        <w:t>е услови</w:t>
      </w:r>
      <w:r w:rsidR="00B67F00" w:rsidRPr="00E37206">
        <w:t xml:space="preserve">е применения льготы, как </w:t>
      </w:r>
      <w:r w:rsidR="001C547F">
        <w:t xml:space="preserve">реинвестирование чистой прибыли, оставшейся после формирования обязательных резервных фондов, установленных действующим законодательством Приднестровской Молдавской Республики, за 2018 год, и </w:t>
      </w:r>
      <w:r w:rsidR="00B67F00" w:rsidRPr="00E37206">
        <w:t>не</w:t>
      </w:r>
      <w:r w:rsidRPr="00E37206">
        <w:t>осуществл</w:t>
      </w:r>
      <w:r w:rsidR="00B67F00" w:rsidRPr="00E37206">
        <w:t>ение</w:t>
      </w:r>
      <w:r w:rsidRPr="00E37206">
        <w:t xml:space="preserve"> </w:t>
      </w:r>
      <w:r w:rsidR="00B67F00" w:rsidRPr="00E37206">
        <w:t xml:space="preserve">начисления и </w:t>
      </w:r>
      <w:r w:rsidRPr="00E37206">
        <w:t>выплат</w:t>
      </w:r>
      <w:r w:rsidR="00B67F00" w:rsidRPr="00E37206">
        <w:t>ы</w:t>
      </w:r>
      <w:r w:rsidRPr="00E37206">
        <w:t xml:space="preserve"> дивидендов, процентов и других доходов от участия в капитале по ито</w:t>
      </w:r>
      <w:r w:rsidR="00B67F00" w:rsidRPr="00E37206">
        <w:t>гам предыдущего и текущего года.</w:t>
      </w:r>
      <w:proofErr w:type="gramEnd"/>
    </w:p>
    <w:p w:rsidR="009C6DFA" w:rsidRPr="00D5769E" w:rsidRDefault="009C6DFA" w:rsidP="00D5769E">
      <w:pPr>
        <w:spacing w:line="276" w:lineRule="auto"/>
        <w:ind w:firstLine="709"/>
        <w:jc w:val="both"/>
      </w:pPr>
      <w:proofErr w:type="gramStart"/>
      <w:r w:rsidRPr="00E37206">
        <w:rPr>
          <w:shd w:val="clear" w:color="auto" w:fill="FFFFFF"/>
        </w:rPr>
        <w:t>Таким образом, законопроектом предлагается</w:t>
      </w:r>
      <w:r w:rsidR="00D5769E">
        <w:rPr>
          <w:shd w:val="clear" w:color="auto" w:fill="FFFFFF"/>
        </w:rPr>
        <w:t xml:space="preserve"> </w:t>
      </w:r>
      <w:r w:rsidR="00D5769E">
        <w:t>установить, что н</w:t>
      </w:r>
      <w:r w:rsidR="00D5769E" w:rsidRPr="00E37206">
        <w:t xml:space="preserve">а </w:t>
      </w:r>
      <w:r w:rsidR="00D5769E" w:rsidRPr="002B4F1A">
        <w:t>период с 1 января 2018 года по 31 декабря 2018 года</w:t>
      </w:r>
      <w:r w:rsidR="00D5769E">
        <w:t xml:space="preserve"> доходы, полученные организациями швейной промышленности, от выполнения работ по переработке давальческого сырья, материалов, в результате которой производится новая движимая вещь, облагаются по ставкам, установленным настоящим Законом для соответствующего вида деятельности, с учётом коэффициента 1,3</w:t>
      </w:r>
      <w:r w:rsidRPr="00E37206">
        <w:rPr>
          <w:shd w:val="clear" w:color="auto" w:fill="FFFFFF"/>
        </w:rPr>
        <w:t xml:space="preserve">, но при выполнении </w:t>
      </w:r>
      <w:proofErr w:type="spellStart"/>
      <w:r w:rsidRPr="00E37206">
        <w:rPr>
          <w:shd w:val="clear" w:color="auto" w:fill="FFFFFF"/>
        </w:rPr>
        <w:t>вышеобозначенных</w:t>
      </w:r>
      <w:proofErr w:type="spellEnd"/>
      <w:r w:rsidRPr="00E37206">
        <w:rPr>
          <w:shd w:val="clear" w:color="auto" w:fill="FFFFFF"/>
        </w:rPr>
        <w:t xml:space="preserve"> условий.</w:t>
      </w:r>
      <w:proofErr w:type="gramEnd"/>
    </w:p>
    <w:p w:rsidR="009C6DFA" w:rsidRPr="00E37206" w:rsidRDefault="009C6DFA" w:rsidP="00EE1DC3">
      <w:pPr>
        <w:spacing w:line="276" w:lineRule="auto"/>
        <w:ind w:firstLine="709"/>
        <w:jc w:val="both"/>
      </w:pPr>
      <w:r w:rsidRPr="00E37206">
        <w:rPr>
          <w:color w:val="000000"/>
        </w:rPr>
        <w:t xml:space="preserve">В случае невыполнения условий и обязательств </w:t>
      </w:r>
      <w:r w:rsidRPr="00E37206">
        <w:t xml:space="preserve">организация должна будет возместить бюджету сумму предоставленной льготы, скорректированной на коэффициент инфляции. </w:t>
      </w:r>
    </w:p>
    <w:p w:rsidR="00D5769E" w:rsidRDefault="009C6DFA" w:rsidP="00EE1DC3">
      <w:pPr>
        <w:spacing w:line="276" w:lineRule="auto"/>
        <w:ind w:firstLine="709"/>
        <w:jc w:val="both"/>
      </w:pPr>
      <w:proofErr w:type="gramStart"/>
      <w:r w:rsidRPr="00E37206">
        <w:t xml:space="preserve">Учитывая данное положение, а также то, что одним из условий является </w:t>
      </w:r>
      <w:r w:rsidRPr="00B343C8">
        <w:t xml:space="preserve">недопущение снижения совокупных сумм налоговых платежей, </w:t>
      </w:r>
      <w:r w:rsidR="00A57E71" w:rsidRPr="00B343C8">
        <w:t xml:space="preserve">а также недопущение уменьшения фонда заработной платы в целом за год по сравнению с размером фонда </w:t>
      </w:r>
      <w:r w:rsidR="007468E7" w:rsidRPr="00B343C8">
        <w:t xml:space="preserve">заработной платы </w:t>
      </w:r>
      <w:r w:rsidR="00A57E71" w:rsidRPr="00B343C8">
        <w:t xml:space="preserve">за предыдущий год, </w:t>
      </w:r>
      <w:r w:rsidRPr="00B343C8">
        <w:t>принятие данной законодательной инициативы не повлечёт за</w:t>
      </w:r>
      <w:r w:rsidRPr="00E37206">
        <w:t xml:space="preserve"> собой уменьшение совокупной суммы налоговых отчислений, поступающих в доходную часть государственного бюджета и бюджета Единого</w:t>
      </w:r>
      <w:proofErr w:type="gramEnd"/>
      <w:r w:rsidRPr="00E37206">
        <w:t xml:space="preserve"> государственного фонда социального страхования Приднестровской Молдавской Республики</w:t>
      </w:r>
      <w:r w:rsidR="00D5769E">
        <w:t>.</w:t>
      </w:r>
    </w:p>
    <w:p w:rsidR="00D5769E" w:rsidRDefault="00653491" w:rsidP="00EE1DC3">
      <w:pPr>
        <w:spacing w:line="276" w:lineRule="auto"/>
        <w:ind w:firstLine="709"/>
        <w:jc w:val="both"/>
      </w:pPr>
      <w:r>
        <w:t xml:space="preserve">Предварительные расчёты </w:t>
      </w:r>
      <w:r w:rsidR="00D5769E">
        <w:t xml:space="preserve">показывают, что в результате оказания поддержки швейным предприятиям, работающим на давальческом сырье, посредством сохранения в 2018 году </w:t>
      </w:r>
      <w:proofErr w:type="spellStart"/>
      <w:r w:rsidR="00D5769E">
        <w:t>преференционного</w:t>
      </w:r>
      <w:proofErr w:type="spellEnd"/>
      <w:r w:rsidR="00D5769E">
        <w:t xml:space="preserve"> уровня налоговой нагрузки, в государственный бюджет и бюджет Единого государственного фонда социального страхования Приднестровской Молдавской Республики поступят следующие объёмы налоговых платежей.</w:t>
      </w:r>
    </w:p>
    <w:p w:rsidR="00D5769E" w:rsidRDefault="00D5769E" w:rsidP="009C6DFA">
      <w:pPr>
        <w:spacing w:line="276" w:lineRule="auto"/>
        <w:ind w:firstLine="709"/>
        <w:jc w:val="both"/>
      </w:pPr>
    </w:p>
    <w:p w:rsidR="00EE1DC3" w:rsidRDefault="00EE1DC3" w:rsidP="009C6DFA">
      <w:pPr>
        <w:spacing w:line="276" w:lineRule="auto"/>
        <w:ind w:firstLine="709"/>
        <w:jc w:val="both"/>
      </w:pPr>
    </w:p>
    <w:p w:rsidR="006454EE" w:rsidRDefault="006454EE" w:rsidP="009C6DFA">
      <w:pPr>
        <w:spacing w:line="276" w:lineRule="auto"/>
        <w:ind w:firstLine="709"/>
        <w:jc w:val="both"/>
      </w:pPr>
    </w:p>
    <w:tbl>
      <w:tblPr>
        <w:tblStyle w:val="ab"/>
        <w:tblW w:w="5000" w:type="pct"/>
        <w:tblLook w:val="04A0" w:firstRow="1" w:lastRow="0" w:firstColumn="1" w:lastColumn="0" w:noHBand="0" w:noVBand="1"/>
      </w:tblPr>
      <w:tblGrid>
        <w:gridCol w:w="2661"/>
        <w:gridCol w:w="1277"/>
        <w:gridCol w:w="1133"/>
        <w:gridCol w:w="1135"/>
        <w:gridCol w:w="1133"/>
        <w:gridCol w:w="1133"/>
        <w:gridCol w:w="1099"/>
      </w:tblGrid>
      <w:tr w:rsidR="00D5769E" w:rsidRPr="00E37206" w:rsidTr="004E5A71">
        <w:trPr>
          <w:trHeight w:val="416"/>
        </w:trPr>
        <w:tc>
          <w:tcPr>
            <w:tcW w:w="1390" w:type="pct"/>
            <w:vMerge w:val="restart"/>
            <w:vAlign w:val="center"/>
          </w:tcPr>
          <w:p w:rsidR="00D5769E" w:rsidRPr="00E37206" w:rsidRDefault="00D5769E" w:rsidP="003A2583">
            <w:pPr>
              <w:tabs>
                <w:tab w:val="left" w:pos="993"/>
              </w:tabs>
              <w:spacing w:line="276" w:lineRule="auto"/>
              <w:jc w:val="center"/>
              <w:rPr>
                <w:sz w:val="22"/>
                <w:szCs w:val="22"/>
              </w:rPr>
            </w:pPr>
            <w:r w:rsidRPr="00E37206">
              <w:rPr>
                <w:sz w:val="22"/>
                <w:szCs w:val="22"/>
              </w:rPr>
              <w:lastRenderedPageBreak/>
              <w:t>Показатели</w:t>
            </w:r>
          </w:p>
        </w:tc>
        <w:tc>
          <w:tcPr>
            <w:tcW w:w="1851" w:type="pct"/>
            <w:gridSpan w:val="3"/>
            <w:vAlign w:val="center"/>
          </w:tcPr>
          <w:p w:rsidR="00D5769E" w:rsidRPr="001C547F" w:rsidRDefault="00D5769E" w:rsidP="00653491">
            <w:pPr>
              <w:tabs>
                <w:tab w:val="left" w:pos="993"/>
              </w:tabs>
              <w:spacing w:line="276" w:lineRule="auto"/>
              <w:jc w:val="center"/>
              <w:rPr>
                <w:sz w:val="22"/>
                <w:szCs w:val="22"/>
                <w:highlight w:val="yellow"/>
              </w:rPr>
            </w:pPr>
            <w:r w:rsidRPr="00E37206">
              <w:rPr>
                <w:sz w:val="22"/>
                <w:szCs w:val="22"/>
              </w:rPr>
              <w:t>ЗАО «Швейная фирма «</w:t>
            </w:r>
            <w:proofErr w:type="spellStart"/>
            <w:r w:rsidRPr="00E37206">
              <w:rPr>
                <w:sz w:val="22"/>
                <w:szCs w:val="22"/>
              </w:rPr>
              <w:t>Вестра</w:t>
            </w:r>
            <w:proofErr w:type="spellEnd"/>
            <w:r w:rsidRPr="00E37206">
              <w:rPr>
                <w:sz w:val="22"/>
                <w:szCs w:val="22"/>
              </w:rPr>
              <w:t>»</w:t>
            </w:r>
          </w:p>
        </w:tc>
        <w:tc>
          <w:tcPr>
            <w:tcW w:w="1759" w:type="pct"/>
            <w:gridSpan w:val="3"/>
            <w:vAlign w:val="center"/>
          </w:tcPr>
          <w:p w:rsidR="00D5769E" w:rsidRPr="00D5769E" w:rsidRDefault="00D5769E" w:rsidP="00653491">
            <w:pPr>
              <w:tabs>
                <w:tab w:val="left" w:pos="993"/>
              </w:tabs>
              <w:spacing w:line="276" w:lineRule="auto"/>
              <w:jc w:val="center"/>
              <w:rPr>
                <w:sz w:val="22"/>
                <w:szCs w:val="22"/>
              </w:rPr>
            </w:pPr>
            <w:r w:rsidRPr="00D5769E">
              <w:rPr>
                <w:sz w:val="22"/>
                <w:szCs w:val="22"/>
              </w:rPr>
              <w:t>ЗАО «</w:t>
            </w:r>
            <w:proofErr w:type="spellStart"/>
            <w:r w:rsidRPr="00D5769E">
              <w:rPr>
                <w:sz w:val="22"/>
                <w:szCs w:val="22"/>
              </w:rPr>
              <w:t>Одема</w:t>
            </w:r>
            <w:proofErr w:type="spellEnd"/>
            <w:r w:rsidRPr="00D5769E">
              <w:rPr>
                <w:sz w:val="22"/>
                <w:szCs w:val="22"/>
              </w:rPr>
              <w:t>» им. В. Соловьевой</w:t>
            </w:r>
          </w:p>
        </w:tc>
      </w:tr>
      <w:tr w:rsidR="00D5769E" w:rsidRPr="00E37206" w:rsidTr="004E5A71">
        <w:tc>
          <w:tcPr>
            <w:tcW w:w="1390" w:type="pct"/>
            <w:vMerge/>
            <w:vAlign w:val="center"/>
          </w:tcPr>
          <w:p w:rsidR="00D5769E" w:rsidRPr="00E37206" w:rsidRDefault="00D5769E" w:rsidP="003A2583">
            <w:pPr>
              <w:tabs>
                <w:tab w:val="left" w:pos="993"/>
              </w:tabs>
              <w:spacing w:line="276" w:lineRule="auto"/>
              <w:jc w:val="center"/>
              <w:rPr>
                <w:sz w:val="22"/>
                <w:szCs w:val="22"/>
              </w:rPr>
            </w:pPr>
          </w:p>
        </w:tc>
        <w:tc>
          <w:tcPr>
            <w:tcW w:w="667" w:type="pct"/>
            <w:vMerge w:val="restart"/>
            <w:vAlign w:val="center"/>
          </w:tcPr>
          <w:p w:rsidR="00BA4B2B" w:rsidRDefault="00D5769E" w:rsidP="00653491">
            <w:pPr>
              <w:tabs>
                <w:tab w:val="left" w:pos="993"/>
              </w:tabs>
              <w:spacing w:line="276" w:lineRule="auto"/>
              <w:jc w:val="center"/>
              <w:rPr>
                <w:sz w:val="22"/>
                <w:szCs w:val="22"/>
              </w:rPr>
            </w:pPr>
            <w:r>
              <w:rPr>
                <w:sz w:val="22"/>
                <w:szCs w:val="22"/>
              </w:rPr>
              <w:t xml:space="preserve">2018, </w:t>
            </w:r>
            <w:proofErr w:type="spellStart"/>
            <w:r>
              <w:rPr>
                <w:sz w:val="22"/>
                <w:szCs w:val="22"/>
              </w:rPr>
              <w:t>ожид</w:t>
            </w:r>
            <w:proofErr w:type="spellEnd"/>
            <w:r>
              <w:rPr>
                <w:sz w:val="22"/>
                <w:szCs w:val="22"/>
              </w:rPr>
              <w:t>.</w:t>
            </w:r>
            <w:r w:rsidR="00BA4B2B">
              <w:rPr>
                <w:sz w:val="22"/>
                <w:szCs w:val="22"/>
              </w:rPr>
              <w:t xml:space="preserve">, </w:t>
            </w:r>
          </w:p>
          <w:p w:rsidR="00D5769E" w:rsidRDefault="00BA4B2B" w:rsidP="00653491">
            <w:pPr>
              <w:tabs>
                <w:tab w:val="left" w:pos="993"/>
              </w:tabs>
              <w:spacing w:line="276" w:lineRule="auto"/>
              <w:jc w:val="center"/>
              <w:rPr>
                <w:sz w:val="22"/>
                <w:szCs w:val="22"/>
              </w:rPr>
            </w:pPr>
            <w:r>
              <w:rPr>
                <w:sz w:val="22"/>
                <w:szCs w:val="22"/>
              </w:rPr>
              <w:t>тыс. руб.</w:t>
            </w:r>
          </w:p>
        </w:tc>
        <w:tc>
          <w:tcPr>
            <w:tcW w:w="1185" w:type="pct"/>
            <w:gridSpan w:val="2"/>
            <w:vAlign w:val="center"/>
          </w:tcPr>
          <w:p w:rsidR="00D5769E" w:rsidRPr="001C547F" w:rsidRDefault="006454EE" w:rsidP="00653491">
            <w:pPr>
              <w:tabs>
                <w:tab w:val="left" w:pos="993"/>
              </w:tabs>
              <w:spacing w:line="276" w:lineRule="auto"/>
              <w:jc w:val="center"/>
              <w:rPr>
                <w:sz w:val="22"/>
                <w:szCs w:val="22"/>
                <w:highlight w:val="yellow"/>
              </w:rPr>
            </w:pPr>
            <w:r>
              <w:rPr>
                <w:sz w:val="22"/>
                <w:szCs w:val="22"/>
              </w:rPr>
              <w:t xml:space="preserve">Темп </w:t>
            </w:r>
            <w:r w:rsidR="00D5769E">
              <w:rPr>
                <w:sz w:val="22"/>
                <w:szCs w:val="22"/>
              </w:rPr>
              <w:t>роста</w:t>
            </w:r>
          </w:p>
        </w:tc>
        <w:tc>
          <w:tcPr>
            <w:tcW w:w="592" w:type="pct"/>
            <w:vMerge w:val="restart"/>
            <w:vAlign w:val="center"/>
          </w:tcPr>
          <w:p w:rsidR="00BA4B2B" w:rsidRDefault="00D5769E" w:rsidP="00653491">
            <w:pPr>
              <w:tabs>
                <w:tab w:val="left" w:pos="993"/>
              </w:tabs>
              <w:spacing w:line="276" w:lineRule="auto"/>
              <w:jc w:val="center"/>
              <w:rPr>
                <w:sz w:val="22"/>
                <w:szCs w:val="22"/>
              </w:rPr>
            </w:pPr>
            <w:r>
              <w:rPr>
                <w:sz w:val="22"/>
                <w:szCs w:val="22"/>
              </w:rPr>
              <w:t xml:space="preserve">2018, </w:t>
            </w:r>
            <w:proofErr w:type="spellStart"/>
            <w:r>
              <w:rPr>
                <w:sz w:val="22"/>
                <w:szCs w:val="22"/>
              </w:rPr>
              <w:t>ожид</w:t>
            </w:r>
            <w:proofErr w:type="spellEnd"/>
            <w:r>
              <w:rPr>
                <w:sz w:val="22"/>
                <w:szCs w:val="22"/>
              </w:rPr>
              <w:t>.</w:t>
            </w:r>
            <w:r w:rsidR="00BA4B2B">
              <w:rPr>
                <w:sz w:val="22"/>
                <w:szCs w:val="22"/>
              </w:rPr>
              <w:t>,</w:t>
            </w:r>
          </w:p>
          <w:p w:rsidR="00D5769E" w:rsidRDefault="00BA4B2B" w:rsidP="00653491">
            <w:pPr>
              <w:tabs>
                <w:tab w:val="left" w:pos="993"/>
              </w:tabs>
              <w:spacing w:line="276" w:lineRule="auto"/>
              <w:jc w:val="center"/>
              <w:rPr>
                <w:sz w:val="22"/>
                <w:szCs w:val="22"/>
              </w:rPr>
            </w:pPr>
            <w:r>
              <w:rPr>
                <w:sz w:val="22"/>
                <w:szCs w:val="22"/>
              </w:rPr>
              <w:t>тыс. руб.</w:t>
            </w:r>
          </w:p>
        </w:tc>
        <w:tc>
          <w:tcPr>
            <w:tcW w:w="1167" w:type="pct"/>
            <w:gridSpan w:val="2"/>
            <w:vAlign w:val="center"/>
          </w:tcPr>
          <w:p w:rsidR="00D5769E" w:rsidRPr="001C547F" w:rsidRDefault="006454EE" w:rsidP="00653491">
            <w:pPr>
              <w:tabs>
                <w:tab w:val="left" w:pos="993"/>
              </w:tabs>
              <w:spacing w:line="276" w:lineRule="auto"/>
              <w:jc w:val="center"/>
              <w:rPr>
                <w:sz w:val="22"/>
                <w:szCs w:val="22"/>
                <w:highlight w:val="yellow"/>
              </w:rPr>
            </w:pPr>
            <w:r>
              <w:rPr>
                <w:sz w:val="22"/>
                <w:szCs w:val="22"/>
              </w:rPr>
              <w:t xml:space="preserve">Темп </w:t>
            </w:r>
            <w:r w:rsidR="00D5769E">
              <w:rPr>
                <w:sz w:val="22"/>
                <w:szCs w:val="22"/>
              </w:rPr>
              <w:t>роста</w:t>
            </w:r>
          </w:p>
        </w:tc>
      </w:tr>
      <w:tr w:rsidR="00653491" w:rsidRPr="00E37206" w:rsidTr="004E5A71">
        <w:tc>
          <w:tcPr>
            <w:tcW w:w="1390" w:type="pct"/>
            <w:vMerge/>
            <w:vAlign w:val="center"/>
          </w:tcPr>
          <w:p w:rsidR="00653491" w:rsidRPr="00E37206" w:rsidRDefault="00653491" w:rsidP="003A2583">
            <w:pPr>
              <w:tabs>
                <w:tab w:val="left" w:pos="993"/>
              </w:tabs>
              <w:spacing w:line="276" w:lineRule="auto"/>
              <w:jc w:val="center"/>
              <w:rPr>
                <w:sz w:val="22"/>
                <w:szCs w:val="22"/>
              </w:rPr>
            </w:pPr>
          </w:p>
        </w:tc>
        <w:tc>
          <w:tcPr>
            <w:tcW w:w="667" w:type="pct"/>
            <w:vMerge/>
            <w:vAlign w:val="center"/>
          </w:tcPr>
          <w:p w:rsidR="00653491" w:rsidRPr="00E37206" w:rsidRDefault="00653491" w:rsidP="00653491">
            <w:pPr>
              <w:tabs>
                <w:tab w:val="left" w:pos="993"/>
              </w:tabs>
              <w:spacing w:line="276" w:lineRule="auto"/>
              <w:jc w:val="center"/>
              <w:rPr>
                <w:sz w:val="22"/>
                <w:szCs w:val="22"/>
              </w:rPr>
            </w:pPr>
          </w:p>
        </w:tc>
        <w:tc>
          <w:tcPr>
            <w:tcW w:w="592" w:type="pct"/>
            <w:vAlign w:val="center"/>
          </w:tcPr>
          <w:p w:rsidR="00653491" w:rsidRPr="00E37206" w:rsidRDefault="00653491" w:rsidP="00653491">
            <w:pPr>
              <w:tabs>
                <w:tab w:val="left" w:pos="993"/>
              </w:tabs>
              <w:spacing w:line="276" w:lineRule="auto"/>
              <w:jc w:val="center"/>
              <w:rPr>
                <w:sz w:val="22"/>
                <w:szCs w:val="22"/>
              </w:rPr>
            </w:pPr>
            <w:r>
              <w:rPr>
                <w:sz w:val="22"/>
                <w:szCs w:val="22"/>
              </w:rPr>
              <w:t>2018 г. к 2017 г.</w:t>
            </w:r>
          </w:p>
        </w:tc>
        <w:tc>
          <w:tcPr>
            <w:tcW w:w="593" w:type="pct"/>
            <w:vAlign w:val="center"/>
          </w:tcPr>
          <w:p w:rsidR="00653491" w:rsidRPr="001C547F" w:rsidRDefault="00653491" w:rsidP="00653491">
            <w:pPr>
              <w:tabs>
                <w:tab w:val="left" w:pos="993"/>
              </w:tabs>
              <w:spacing w:line="276" w:lineRule="auto"/>
              <w:jc w:val="center"/>
              <w:rPr>
                <w:sz w:val="22"/>
                <w:szCs w:val="22"/>
                <w:highlight w:val="yellow"/>
              </w:rPr>
            </w:pPr>
            <w:r>
              <w:rPr>
                <w:sz w:val="22"/>
                <w:szCs w:val="22"/>
              </w:rPr>
              <w:t>2018 г. к 2016 г.</w:t>
            </w:r>
          </w:p>
        </w:tc>
        <w:tc>
          <w:tcPr>
            <w:tcW w:w="592" w:type="pct"/>
            <w:vMerge/>
            <w:vAlign w:val="center"/>
          </w:tcPr>
          <w:p w:rsidR="00653491" w:rsidRPr="00D5769E" w:rsidRDefault="00653491" w:rsidP="00653491">
            <w:pPr>
              <w:tabs>
                <w:tab w:val="left" w:pos="993"/>
              </w:tabs>
              <w:spacing w:line="276" w:lineRule="auto"/>
              <w:jc w:val="center"/>
              <w:rPr>
                <w:sz w:val="22"/>
                <w:szCs w:val="22"/>
              </w:rPr>
            </w:pPr>
          </w:p>
        </w:tc>
        <w:tc>
          <w:tcPr>
            <w:tcW w:w="592" w:type="pct"/>
            <w:vAlign w:val="center"/>
          </w:tcPr>
          <w:p w:rsidR="00653491" w:rsidRPr="00E37206" w:rsidRDefault="00653491" w:rsidP="00653491">
            <w:pPr>
              <w:tabs>
                <w:tab w:val="left" w:pos="993"/>
              </w:tabs>
              <w:spacing w:line="276" w:lineRule="auto"/>
              <w:jc w:val="center"/>
              <w:rPr>
                <w:sz w:val="22"/>
                <w:szCs w:val="22"/>
              </w:rPr>
            </w:pPr>
            <w:r>
              <w:rPr>
                <w:sz w:val="22"/>
                <w:szCs w:val="22"/>
              </w:rPr>
              <w:t>2018 г. к 2017 г.</w:t>
            </w:r>
          </w:p>
        </w:tc>
        <w:tc>
          <w:tcPr>
            <w:tcW w:w="575" w:type="pct"/>
            <w:vAlign w:val="center"/>
          </w:tcPr>
          <w:p w:rsidR="00653491" w:rsidRPr="001C547F" w:rsidRDefault="00653491" w:rsidP="00653491">
            <w:pPr>
              <w:tabs>
                <w:tab w:val="left" w:pos="993"/>
              </w:tabs>
              <w:spacing w:line="276" w:lineRule="auto"/>
              <w:jc w:val="center"/>
              <w:rPr>
                <w:sz w:val="22"/>
                <w:szCs w:val="22"/>
                <w:highlight w:val="yellow"/>
              </w:rPr>
            </w:pPr>
            <w:r>
              <w:rPr>
                <w:sz w:val="22"/>
                <w:szCs w:val="22"/>
              </w:rPr>
              <w:t>2018 г. к 2016 г.</w:t>
            </w:r>
          </w:p>
        </w:tc>
      </w:tr>
      <w:tr w:rsidR="004E5A71" w:rsidRPr="00E37206" w:rsidTr="004E5A71">
        <w:tc>
          <w:tcPr>
            <w:tcW w:w="1390" w:type="pct"/>
          </w:tcPr>
          <w:p w:rsidR="00D5769E" w:rsidRPr="00E37206" w:rsidRDefault="00D5769E" w:rsidP="004E5A71">
            <w:pPr>
              <w:tabs>
                <w:tab w:val="left" w:pos="993"/>
              </w:tabs>
              <w:spacing w:line="276" w:lineRule="auto"/>
              <w:rPr>
                <w:sz w:val="22"/>
                <w:szCs w:val="22"/>
              </w:rPr>
            </w:pPr>
            <w:r>
              <w:rPr>
                <w:sz w:val="22"/>
                <w:szCs w:val="22"/>
              </w:rPr>
              <w:t>Налог на доходы организаций</w:t>
            </w:r>
          </w:p>
        </w:tc>
        <w:tc>
          <w:tcPr>
            <w:tcW w:w="667" w:type="pct"/>
            <w:vAlign w:val="center"/>
          </w:tcPr>
          <w:p w:rsidR="00D5769E" w:rsidRPr="004E5A71" w:rsidRDefault="00653491" w:rsidP="004E5A71">
            <w:pPr>
              <w:tabs>
                <w:tab w:val="left" w:pos="993"/>
              </w:tabs>
              <w:spacing w:line="276" w:lineRule="auto"/>
              <w:jc w:val="center"/>
            </w:pPr>
            <w:r w:rsidRPr="004E5A71">
              <w:t>1 960</w:t>
            </w:r>
          </w:p>
        </w:tc>
        <w:tc>
          <w:tcPr>
            <w:tcW w:w="592" w:type="pct"/>
            <w:vAlign w:val="center"/>
          </w:tcPr>
          <w:p w:rsidR="00D5769E" w:rsidRPr="004E5A71" w:rsidRDefault="006454EE" w:rsidP="004E5A71">
            <w:pPr>
              <w:tabs>
                <w:tab w:val="left" w:pos="993"/>
              </w:tabs>
              <w:spacing w:line="276" w:lineRule="auto"/>
              <w:jc w:val="center"/>
            </w:pPr>
            <w:r>
              <w:t>1</w:t>
            </w:r>
            <w:r w:rsidR="00653491" w:rsidRPr="004E5A71">
              <w:t>22%</w:t>
            </w:r>
          </w:p>
        </w:tc>
        <w:tc>
          <w:tcPr>
            <w:tcW w:w="593" w:type="pct"/>
            <w:vAlign w:val="center"/>
          </w:tcPr>
          <w:p w:rsidR="00D5769E" w:rsidRPr="004E5A71" w:rsidRDefault="006454EE" w:rsidP="004E5A71">
            <w:pPr>
              <w:tabs>
                <w:tab w:val="left" w:pos="993"/>
              </w:tabs>
              <w:spacing w:line="276" w:lineRule="auto"/>
              <w:jc w:val="center"/>
            </w:pPr>
            <w:r>
              <w:t>1</w:t>
            </w:r>
            <w:r w:rsidR="00653491" w:rsidRPr="004E5A71">
              <w:t>33%</w:t>
            </w:r>
          </w:p>
        </w:tc>
        <w:tc>
          <w:tcPr>
            <w:tcW w:w="592" w:type="pct"/>
            <w:vAlign w:val="center"/>
          </w:tcPr>
          <w:p w:rsidR="00D5769E" w:rsidRPr="004E5A71" w:rsidRDefault="00FF62DD" w:rsidP="004E5A71">
            <w:pPr>
              <w:tabs>
                <w:tab w:val="left" w:pos="993"/>
              </w:tabs>
              <w:spacing w:line="276" w:lineRule="auto"/>
              <w:jc w:val="center"/>
            </w:pPr>
            <w:r w:rsidRPr="004E5A71">
              <w:t>3 052,4</w:t>
            </w:r>
          </w:p>
        </w:tc>
        <w:tc>
          <w:tcPr>
            <w:tcW w:w="592" w:type="pct"/>
            <w:vAlign w:val="center"/>
          </w:tcPr>
          <w:p w:rsidR="00D5769E" w:rsidRPr="004E5A71" w:rsidRDefault="006454EE" w:rsidP="004E5A71">
            <w:pPr>
              <w:tabs>
                <w:tab w:val="left" w:pos="993"/>
              </w:tabs>
              <w:spacing w:line="276" w:lineRule="auto"/>
              <w:jc w:val="center"/>
            </w:pPr>
            <w:r>
              <w:t>1</w:t>
            </w:r>
            <w:r w:rsidR="004E5A71" w:rsidRPr="004E5A71">
              <w:t>86%</w:t>
            </w:r>
          </w:p>
        </w:tc>
        <w:tc>
          <w:tcPr>
            <w:tcW w:w="575" w:type="pct"/>
            <w:vAlign w:val="center"/>
          </w:tcPr>
          <w:p w:rsidR="00D5769E" w:rsidRPr="004E5A71" w:rsidRDefault="006454EE" w:rsidP="004E5A71">
            <w:pPr>
              <w:tabs>
                <w:tab w:val="left" w:pos="993"/>
              </w:tabs>
              <w:spacing w:line="276" w:lineRule="auto"/>
              <w:jc w:val="center"/>
            </w:pPr>
            <w:r>
              <w:t>1</w:t>
            </w:r>
            <w:r w:rsidR="004E5A71" w:rsidRPr="004E5A71">
              <w:t>80%</w:t>
            </w:r>
          </w:p>
        </w:tc>
      </w:tr>
      <w:tr w:rsidR="004E5A71" w:rsidRPr="00E37206" w:rsidTr="004E5A71">
        <w:tc>
          <w:tcPr>
            <w:tcW w:w="1390" w:type="pct"/>
          </w:tcPr>
          <w:p w:rsidR="00D5769E" w:rsidRPr="00E37206" w:rsidRDefault="00D5769E" w:rsidP="004E5A71">
            <w:pPr>
              <w:tabs>
                <w:tab w:val="left" w:pos="993"/>
              </w:tabs>
              <w:spacing w:line="276" w:lineRule="auto"/>
              <w:rPr>
                <w:sz w:val="22"/>
                <w:szCs w:val="22"/>
              </w:rPr>
            </w:pPr>
            <w:r>
              <w:rPr>
                <w:sz w:val="22"/>
                <w:szCs w:val="22"/>
              </w:rPr>
              <w:t>Единый социальный налог</w:t>
            </w:r>
          </w:p>
        </w:tc>
        <w:tc>
          <w:tcPr>
            <w:tcW w:w="667" w:type="pct"/>
            <w:vAlign w:val="center"/>
          </w:tcPr>
          <w:p w:rsidR="00D5769E" w:rsidRPr="004E5A71" w:rsidRDefault="00653491" w:rsidP="004E5A71">
            <w:pPr>
              <w:tabs>
                <w:tab w:val="left" w:pos="993"/>
              </w:tabs>
              <w:spacing w:line="276" w:lineRule="auto"/>
              <w:jc w:val="center"/>
            </w:pPr>
            <w:r w:rsidRPr="004E5A71">
              <w:t>4 766</w:t>
            </w:r>
          </w:p>
        </w:tc>
        <w:tc>
          <w:tcPr>
            <w:tcW w:w="592" w:type="pct"/>
            <w:vAlign w:val="center"/>
          </w:tcPr>
          <w:p w:rsidR="00D5769E" w:rsidRPr="004E5A71" w:rsidRDefault="006454EE" w:rsidP="004E5A71">
            <w:pPr>
              <w:tabs>
                <w:tab w:val="left" w:pos="993"/>
              </w:tabs>
              <w:spacing w:line="276" w:lineRule="auto"/>
              <w:jc w:val="center"/>
            </w:pPr>
            <w:r>
              <w:t>1</w:t>
            </w:r>
            <w:r w:rsidR="00653491" w:rsidRPr="004E5A71">
              <w:t>13%</w:t>
            </w:r>
          </w:p>
        </w:tc>
        <w:tc>
          <w:tcPr>
            <w:tcW w:w="593" w:type="pct"/>
            <w:vAlign w:val="center"/>
          </w:tcPr>
          <w:p w:rsidR="00D5769E" w:rsidRPr="004E5A71" w:rsidRDefault="006454EE" w:rsidP="004E5A71">
            <w:pPr>
              <w:tabs>
                <w:tab w:val="left" w:pos="993"/>
              </w:tabs>
              <w:spacing w:line="276" w:lineRule="auto"/>
              <w:jc w:val="center"/>
            </w:pPr>
            <w:r>
              <w:t>1</w:t>
            </w:r>
            <w:r w:rsidR="00653491" w:rsidRPr="004E5A71">
              <w:t>16%</w:t>
            </w:r>
          </w:p>
        </w:tc>
        <w:tc>
          <w:tcPr>
            <w:tcW w:w="592" w:type="pct"/>
            <w:vAlign w:val="center"/>
          </w:tcPr>
          <w:p w:rsidR="00D5769E" w:rsidRPr="004E5A71" w:rsidRDefault="004E5A71" w:rsidP="004E5A71">
            <w:pPr>
              <w:tabs>
                <w:tab w:val="left" w:pos="993"/>
              </w:tabs>
              <w:spacing w:line="276" w:lineRule="auto"/>
              <w:jc w:val="center"/>
            </w:pPr>
            <w:r w:rsidRPr="004E5A71">
              <w:t>5 537</w:t>
            </w:r>
          </w:p>
        </w:tc>
        <w:tc>
          <w:tcPr>
            <w:tcW w:w="592" w:type="pct"/>
            <w:vAlign w:val="center"/>
          </w:tcPr>
          <w:p w:rsidR="00D5769E" w:rsidRPr="004E5A71" w:rsidRDefault="006454EE" w:rsidP="004E5A71">
            <w:pPr>
              <w:tabs>
                <w:tab w:val="left" w:pos="993"/>
              </w:tabs>
              <w:spacing w:line="276" w:lineRule="auto"/>
              <w:jc w:val="center"/>
            </w:pPr>
            <w:r>
              <w:t>1</w:t>
            </w:r>
            <w:r w:rsidR="004E5A71" w:rsidRPr="004E5A71">
              <w:t>45%</w:t>
            </w:r>
          </w:p>
        </w:tc>
        <w:tc>
          <w:tcPr>
            <w:tcW w:w="575" w:type="pct"/>
            <w:vAlign w:val="center"/>
          </w:tcPr>
          <w:p w:rsidR="00D5769E" w:rsidRPr="004E5A71" w:rsidRDefault="006454EE" w:rsidP="004E5A71">
            <w:pPr>
              <w:tabs>
                <w:tab w:val="left" w:pos="993"/>
              </w:tabs>
              <w:spacing w:line="276" w:lineRule="auto"/>
              <w:jc w:val="center"/>
            </w:pPr>
            <w:r>
              <w:t>1</w:t>
            </w:r>
            <w:r w:rsidR="004E5A71" w:rsidRPr="004E5A71">
              <w:t>66%</w:t>
            </w:r>
          </w:p>
        </w:tc>
      </w:tr>
      <w:tr w:rsidR="004E5A71" w:rsidRPr="00E37206" w:rsidTr="004E5A71">
        <w:tc>
          <w:tcPr>
            <w:tcW w:w="1390" w:type="pct"/>
          </w:tcPr>
          <w:p w:rsidR="00D5769E" w:rsidRPr="00E37206" w:rsidRDefault="00D5769E" w:rsidP="004E5A71">
            <w:pPr>
              <w:tabs>
                <w:tab w:val="left" w:pos="993"/>
              </w:tabs>
              <w:spacing w:line="276" w:lineRule="auto"/>
              <w:rPr>
                <w:sz w:val="22"/>
                <w:szCs w:val="22"/>
              </w:rPr>
            </w:pPr>
            <w:r>
              <w:rPr>
                <w:sz w:val="22"/>
                <w:szCs w:val="22"/>
              </w:rPr>
              <w:t>Обязательный страховой взнос</w:t>
            </w:r>
          </w:p>
        </w:tc>
        <w:tc>
          <w:tcPr>
            <w:tcW w:w="667" w:type="pct"/>
            <w:vAlign w:val="center"/>
          </w:tcPr>
          <w:p w:rsidR="00D5769E" w:rsidRPr="004E5A71" w:rsidRDefault="00653491" w:rsidP="004E5A71">
            <w:pPr>
              <w:tabs>
                <w:tab w:val="left" w:pos="993"/>
              </w:tabs>
              <w:spacing w:line="276" w:lineRule="auto"/>
              <w:jc w:val="center"/>
            </w:pPr>
            <w:r w:rsidRPr="004E5A71">
              <w:t>553</w:t>
            </w:r>
          </w:p>
        </w:tc>
        <w:tc>
          <w:tcPr>
            <w:tcW w:w="592" w:type="pct"/>
            <w:vAlign w:val="center"/>
          </w:tcPr>
          <w:p w:rsidR="00D5769E" w:rsidRPr="004E5A71" w:rsidRDefault="006454EE" w:rsidP="004E5A71">
            <w:pPr>
              <w:tabs>
                <w:tab w:val="left" w:pos="993"/>
              </w:tabs>
              <w:spacing w:line="276" w:lineRule="auto"/>
              <w:jc w:val="center"/>
            </w:pPr>
            <w:r>
              <w:t>1</w:t>
            </w:r>
            <w:r w:rsidR="00653491" w:rsidRPr="004E5A71">
              <w:t>13%</w:t>
            </w:r>
          </w:p>
        </w:tc>
        <w:tc>
          <w:tcPr>
            <w:tcW w:w="593" w:type="pct"/>
            <w:vAlign w:val="center"/>
          </w:tcPr>
          <w:p w:rsidR="00D5769E" w:rsidRPr="004E5A71" w:rsidRDefault="006454EE" w:rsidP="004E5A71">
            <w:pPr>
              <w:tabs>
                <w:tab w:val="left" w:pos="993"/>
              </w:tabs>
              <w:spacing w:line="276" w:lineRule="auto"/>
              <w:jc w:val="center"/>
            </w:pPr>
            <w:r>
              <w:t>1</w:t>
            </w:r>
            <w:r w:rsidR="00653491" w:rsidRPr="004E5A71">
              <w:t>16%</w:t>
            </w:r>
          </w:p>
        </w:tc>
        <w:tc>
          <w:tcPr>
            <w:tcW w:w="592" w:type="pct"/>
            <w:vAlign w:val="center"/>
          </w:tcPr>
          <w:p w:rsidR="00D5769E" w:rsidRPr="004E5A71" w:rsidRDefault="004E5A71" w:rsidP="004E5A71">
            <w:pPr>
              <w:tabs>
                <w:tab w:val="left" w:pos="993"/>
              </w:tabs>
              <w:spacing w:line="276" w:lineRule="auto"/>
              <w:jc w:val="center"/>
            </w:pPr>
            <w:r w:rsidRPr="004E5A71">
              <w:t>656</w:t>
            </w:r>
          </w:p>
        </w:tc>
        <w:tc>
          <w:tcPr>
            <w:tcW w:w="592" w:type="pct"/>
            <w:vAlign w:val="center"/>
          </w:tcPr>
          <w:p w:rsidR="00D5769E" w:rsidRPr="004E5A71" w:rsidRDefault="006454EE" w:rsidP="004E5A71">
            <w:pPr>
              <w:tabs>
                <w:tab w:val="left" w:pos="993"/>
              </w:tabs>
              <w:spacing w:line="276" w:lineRule="auto"/>
              <w:jc w:val="center"/>
            </w:pPr>
            <w:r>
              <w:t>1</w:t>
            </w:r>
            <w:r w:rsidR="004E5A71" w:rsidRPr="004E5A71">
              <w:t>45%</w:t>
            </w:r>
          </w:p>
        </w:tc>
        <w:tc>
          <w:tcPr>
            <w:tcW w:w="575" w:type="pct"/>
            <w:vAlign w:val="center"/>
          </w:tcPr>
          <w:p w:rsidR="00D5769E" w:rsidRPr="004E5A71" w:rsidRDefault="006454EE" w:rsidP="004E5A71">
            <w:pPr>
              <w:tabs>
                <w:tab w:val="left" w:pos="993"/>
              </w:tabs>
              <w:spacing w:line="276" w:lineRule="auto"/>
              <w:jc w:val="center"/>
            </w:pPr>
            <w:r>
              <w:t>1</w:t>
            </w:r>
            <w:r w:rsidR="004E5A71" w:rsidRPr="004E5A71">
              <w:t>83%</w:t>
            </w:r>
          </w:p>
        </w:tc>
      </w:tr>
      <w:tr w:rsidR="004E5A71" w:rsidRPr="00E37206" w:rsidTr="004E5A71">
        <w:tc>
          <w:tcPr>
            <w:tcW w:w="1390" w:type="pct"/>
          </w:tcPr>
          <w:p w:rsidR="00D5769E" w:rsidRDefault="00D5769E" w:rsidP="004E5A71">
            <w:pPr>
              <w:tabs>
                <w:tab w:val="left" w:pos="993"/>
              </w:tabs>
              <w:spacing w:line="276" w:lineRule="auto"/>
              <w:rPr>
                <w:sz w:val="22"/>
                <w:szCs w:val="22"/>
              </w:rPr>
            </w:pPr>
            <w:r>
              <w:rPr>
                <w:sz w:val="22"/>
                <w:szCs w:val="22"/>
              </w:rPr>
              <w:t>Подоходный налог с физических лиц</w:t>
            </w:r>
          </w:p>
        </w:tc>
        <w:tc>
          <w:tcPr>
            <w:tcW w:w="667" w:type="pct"/>
            <w:vAlign w:val="center"/>
          </w:tcPr>
          <w:p w:rsidR="00D5769E" w:rsidRPr="004E5A71" w:rsidRDefault="00653491" w:rsidP="004E5A71">
            <w:pPr>
              <w:tabs>
                <w:tab w:val="left" w:pos="993"/>
              </w:tabs>
              <w:spacing w:line="276" w:lineRule="auto"/>
              <w:jc w:val="center"/>
            </w:pPr>
            <w:r w:rsidRPr="004E5A71">
              <w:t>1 316</w:t>
            </w:r>
          </w:p>
        </w:tc>
        <w:tc>
          <w:tcPr>
            <w:tcW w:w="592" w:type="pct"/>
            <w:vAlign w:val="center"/>
          </w:tcPr>
          <w:p w:rsidR="00D5769E" w:rsidRPr="004E5A71" w:rsidRDefault="006454EE" w:rsidP="004E5A71">
            <w:pPr>
              <w:tabs>
                <w:tab w:val="left" w:pos="993"/>
              </w:tabs>
              <w:spacing w:line="276" w:lineRule="auto"/>
              <w:jc w:val="center"/>
            </w:pPr>
            <w:r>
              <w:t>1</w:t>
            </w:r>
            <w:r w:rsidR="00BA4B2B" w:rsidRPr="004E5A71">
              <w:t>13%</w:t>
            </w:r>
          </w:p>
        </w:tc>
        <w:tc>
          <w:tcPr>
            <w:tcW w:w="593" w:type="pct"/>
            <w:vAlign w:val="center"/>
          </w:tcPr>
          <w:p w:rsidR="00D5769E" w:rsidRPr="004E5A71" w:rsidRDefault="006454EE" w:rsidP="004E5A71">
            <w:pPr>
              <w:tabs>
                <w:tab w:val="left" w:pos="993"/>
              </w:tabs>
              <w:spacing w:line="276" w:lineRule="auto"/>
              <w:jc w:val="center"/>
            </w:pPr>
            <w:r>
              <w:t>1</w:t>
            </w:r>
            <w:r w:rsidR="00653491" w:rsidRPr="004E5A71">
              <w:t>18%</w:t>
            </w:r>
          </w:p>
        </w:tc>
        <w:tc>
          <w:tcPr>
            <w:tcW w:w="592" w:type="pct"/>
            <w:vAlign w:val="center"/>
          </w:tcPr>
          <w:p w:rsidR="00D5769E" w:rsidRPr="004E5A71" w:rsidRDefault="004E5A71" w:rsidP="004E5A71">
            <w:pPr>
              <w:tabs>
                <w:tab w:val="left" w:pos="993"/>
              </w:tabs>
              <w:spacing w:line="276" w:lineRule="auto"/>
              <w:jc w:val="center"/>
            </w:pPr>
            <w:r w:rsidRPr="004E5A71">
              <w:t>1 413</w:t>
            </w:r>
          </w:p>
        </w:tc>
        <w:tc>
          <w:tcPr>
            <w:tcW w:w="592" w:type="pct"/>
            <w:vAlign w:val="center"/>
          </w:tcPr>
          <w:p w:rsidR="00D5769E" w:rsidRPr="004E5A71" w:rsidRDefault="006454EE" w:rsidP="004E5A71">
            <w:pPr>
              <w:tabs>
                <w:tab w:val="left" w:pos="993"/>
              </w:tabs>
              <w:spacing w:line="276" w:lineRule="auto"/>
              <w:jc w:val="center"/>
            </w:pPr>
            <w:r>
              <w:t>1</w:t>
            </w:r>
            <w:r w:rsidR="004E5A71" w:rsidRPr="004E5A71">
              <w:t>45</w:t>
            </w:r>
            <w:r w:rsidR="00B3578E">
              <w:t>%</w:t>
            </w:r>
          </w:p>
        </w:tc>
        <w:tc>
          <w:tcPr>
            <w:tcW w:w="575" w:type="pct"/>
            <w:vAlign w:val="center"/>
          </w:tcPr>
          <w:p w:rsidR="00D5769E" w:rsidRPr="004E5A71" w:rsidRDefault="006454EE" w:rsidP="004E5A71">
            <w:pPr>
              <w:tabs>
                <w:tab w:val="left" w:pos="993"/>
              </w:tabs>
              <w:spacing w:line="276" w:lineRule="auto"/>
              <w:jc w:val="center"/>
            </w:pPr>
            <w:r>
              <w:t>1</w:t>
            </w:r>
            <w:r w:rsidR="004E5A71" w:rsidRPr="004E5A71">
              <w:t>63%</w:t>
            </w:r>
          </w:p>
        </w:tc>
      </w:tr>
    </w:tbl>
    <w:p w:rsidR="00D5769E" w:rsidRDefault="00D5769E" w:rsidP="009C6DFA">
      <w:pPr>
        <w:spacing w:line="276" w:lineRule="auto"/>
        <w:ind w:firstLine="709"/>
        <w:jc w:val="both"/>
      </w:pPr>
    </w:p>
    <w:p w:rsidR="00FC195B" w:rsidRPr="005870E8" w:rsidRDefault="007B0BF7" w:rsidP="005870E8">
      <w:pPr>
        <w:spacing w:line="276" w:lineRule="auto"/>
        <w:ind w:firstLine="709"/>
        <w:jc w:val="both"/>
      </w:pPr>
      <w:proofErr w:type="gramStart"/>
      <w:r>
        <w:t>Таким образом, в случае если в 2018 году оставить уровень налоговой нагрузки на предприятия швейной отрасли на уровне 2017 года, объёмы налоговых платежей увеличатся не только по сравнению с 2017 годом, когда не действовал повышающий коэффициент к налоговой ставке, но и по сравнению с 2016 годом, когда применя</w:t>
      </w:r>
      <w:r w:rsidR="00835401">
        <w:t>л</w:t>
      </w:r>
      <w:r>
        <w:t>ся коэффициент в раз</w:t>
      </w:r>
      <w:r w:rsidR="005870E8">
        <w:t>мере 1,7</w:t>
      </w:r>
      <w:r w:rsidR="009C6DFA" w:rsidRPr="00E37206">
        <w:t>;</w:t>
      </w:r>
      <w:proofErr w:type="gramEnd"/>
    </w:p>
    <w:p w:rsidR="001725F3" w:rsidRPr="00E37206" w:rsidRDefault="006A153E" w:rsidP="00170FE7">
      <w:pPr>
        <w:pStyle w:val="ad"/>
        <w:shd w:val="clear" w:color="auto" w:fill="FFFFFF"/>
        <w:spacing w:before="0" w:beforeAutospacing="0" w:after="0" w:afterAutospacing="0" w:line="276" w:lineRule="auto"/>
        <w:ind w:firstLine="709"/>
        <w:jc w:val="both"/>
      </w:pPr>
      <w:r w:rsidRPr="00E37206">
        <w:t xml:space="preserve">б) в данной сфере </w:t>
      </w:r>
      <w:r w:rsidR="001725F3" w:rsidRPr="00E37206">
        <w:t>правового регулирования действую</w:t>
      </w:r>
      <w:r w:rsidRPr="00E37206">
        <w:t>т</w:t>
      </w:r>
      <w:r w:rsidR="001725F3" w:rsidRPr="00E37206">
        <w:t>:</w:t>
      </w:r>
    </w:p>
    <w:p w:rsidR="00297630" w:rsidRPr="00E37206" w:rsidRDefault="001725F3" w:rsidP="00170FE7">
      <w:pPr>
        <w:pStyle w:val="ad"/>
        <w:shd w:val="clear" w:color="auto" w:fill="FFFFFF"/>
        <w:spacing w:before="0" w:beforeAutospacing="0" w:after="0" w:afterAutospacing="0" w:line="276" w:lineRule="auto"/>
        <w:ind w:firstLine="709"/>
        <w:jc w:val="both"/>
        <w:rPr>
          <w:shd w:val="clear" w:color="auto" w:fill="FFFFFF"/>
        </w:rPr>
      </w:pPr>
      <w:proofErr w:type="gramStart"/>
      <w:r w:rsidRPr="00E37206">
        <w:t xml:space="preserve">1) </w:t>
      </w:r>
      <w:r w:rsidR="00297630" w:rsidRPr="00E37206">
        <w:rPr>
          <w:shd w:val="clear" w:color="auto" w:fill="FFFFFF"/>
        </w:rPr>
        <w:t>Закон Приднестровской Молдавской Республики от 6 июня 2016 года №</w:t>
      </w:r>
      <w:r w:rsidR="00297630" w:rsidRPr="00E37206">
        <w:rPr>
          <w:shd w:val="clear" w:color="auto" w:fill="FFFFFF"/>
        </w:rPr>
        <w:br/>
        <w:t xml:space="preserve">149-З-VI «О дополнительных мерах, направленных на стабилизацию экономики Приднестровской Молдавской Республики» (САЗ 16-23) с изменениями и дополнениями, </w:t>
      </w:r>
      <w:r w:rsidR="00297630" w:rsidRPr="00DB59F4">
        <w:rPr>
          <w:shd w:val="clear" w:color="auto" w:fill="FFFFFF"/>
        </w:rPr>
        <w:t>внесенными законами Приднестровской Молдавской Республики от 6 октября 2016 года № 224-ЗИД-VI (САЗ 16-41); от 30 декабря 2016 года № 318-ЗИ-VI (САЗ 17-1); от 1 февраля 2017 года № 28-ЗИ-VI (САЗ 17-6);</w:t>
      </w:r>
      <w:proofErr w:type="gramEnd"/>
      <w:r w:rsidR="00297630" w:rsidRPr="00DB59F4">
        <w:rPr>
          <w:shd w:val="clear" w:color="auto" w:fill="FFFFFF"/>
        </w:rPr>
        <w:t xml:space="preserve"> от 10 марта 2017 года № 53-ЗД-VI (САЗ 17-11); от 11 апреля 2017 года № 79-ЗИ-VI (САЗ 17-16); от 28 июня 2017 года № 192-ЗИ-VI (САЗ 17-27);</w:t>
      </w:r>
      <w:r w:rsidR="00DB59F4" w:rsidRPr="00DB59F4">
        <w:rPr>
          <w:shd w:val="clear" w:color="auto" w:fill="FFFFFF"/>
        </w:rPr>
        <w:t xml:space="preserve"> от 30 ноября 2017 года № 351-ЗИД-</w:t>
      </w:r>
      <w:r w:rsidR="00DB59F4" w:rsidRPr="00DB59F4">
        <w:rPr>
          <w:shd w:val="clear" w:color="auto" w:fill="FFFFFF"/>
          <w:lang w:val="en-US"/>
        </w:rPr>
        <w:t>VI</w:t>
      </w:r>
      <w:r w:rsidR="00DB59F4" w:rsidRPr="00DB59F4">
        <w:rPr>
          <w:shd w:val="clear" w:color="auto" w:fill="FFFFFF"/>
        </w:rPr>
        <w:t xml:space="preserve"> (САЗ 17-49);</w:t>
      </w:r>
    </w:p>
    <w:p w:rsidR="00DB59F4" w:rsidRPr="00E37206" w:rsidRDefault="00DB59F4" w:rsidP="00DB59F4">
      <w:pPr>
        <w:pStyle w:val="ad"/>
        <w:shd w:val="clear" w:color="auto" w:fill="FFFFFF"/>
        <w:spacing w:before="0" w:beforeAutospacing="0" w:after="0" w:afterAutospacing="0" w:line="276" w:lineRule="auto"/>
        <w:ind w:firstLine="709"/>
        <w:jc w:val="both"/>
        <w:rPr>
          <w:shd w:val="clear" w:color="auto" w:fill="FFFFFF"/>
        </w:rPr>
      </w:pPr>
      <w:proofErr w:type="gramStart"/>
      <w:r w:rsidRPr="00DB59F4">
        <w:rPr>
          <w:shd w:val="clear" w:color="auto" w:fill="FFFFFF"/>
        </w:rPr>
        <w:t>2) Закон Приднестровской Молдавской Республики от 29 сентября 2011 года № 156-З-V «О налоге на доходы организаций» (САЗ 11-39) с изменениями и дополнениями, внесенными законами Приднестровской Молдавской Республики от 28 декабря 2011 года № 251-ЗД-V (САЗ 12-1,1); от 29 декабря 2011 года № 261-ЗИД-V (САЗ 12-1,1); от 29 декабря 2011 года № 273-ЗД-V (САЗ 12-1,1);</w:t>
      </w:r>
      <w:proofErr w:type="gramEnd"/>
      <w:r w:rsidRPr="00DB59F4">
        <w:rPr>
          <w:shd w:val="clear" w:color="auto" w:fill="FFFFFF"/>
        </w:rPr>
        <w:t xml:space="preserve"> </w:t>
      </w:r>
      <w:proofErr w:type="gramStart"/>
      <w:r w:rsidRPr="00DB59F4">
        <w:rPr>
          <w:shd w:val="clear" w:color="auto" w:fill="FFFFFF"/>
        </w:rPr>
        <w:t>от 5 марта 2012 года № 22-ЗИД-V</w:t>
      </w:r>
      <w:r w:rsidRPr="00DB59F4">
        <w:rPr>
          <w:shd w:val="clear" w:color="auto" w:fill="FFFFFF"/>
        </w:rPr>
        <w:br/>
        <w:t>(САЗ 12-11); от 15 марта 2012 года № 28-ЗИД-V (САЗ 12-12); от 24 сентября 2012 года № 169-ЗИ-V (САЗ 12-40); от 16 октября 2012 года № 196-ЗИД-V (САЗ 12-43); от 19 марта 2013 года № 69-ЗИД-V (САЗ 13-11); от 28 мая 2013 года № 107-ЗД-V (САЗ 13-21); от 30 июля 2013 года № 170-ЗД-V (САЗ 13-30);</w:t>
      </w:r>
      <w:proofErr w:type="gramEnd"/>
      <w:r w:rsidRPr="00DB59F4">
        <w:rPr>
          <w:shd w:val="clear" w:color="auto" w:fill="FFFFFF"/>
        </w:rPr>
        <w:t xml:space="preserve"> </w:t>
      </w:r>
      <w:proofErr w:type="gramStart"/>
      <w:r w:rsidRPr="00DB59F4">
        <w:rPr>
          <w:shd w:val="clear" w:color="auto" w:fill="FFFFFF"/>
        </w:rPr>
        <w:t>от 28 сентября 2013 года № 201-ЗД-V</w:t>
      </w:r>
      <w:r w:rsidRPr="00DB59F4">
        <w:rPr>
          <w:shd w:val="clear" w:color="auto" w:fill="FFFFFF"/>
        </w:rPr>
        <w:br/>
        <w:t>(САЗ 13-38,1); от 20 ноября 2013 года № 238-ЗД-V (САЗ 13-46); от 27 ноября 2013 года № 251-ЗИ-V (САЗ 13-47); от 19 ноября 2014 года № 182-ЗИ-V (САЗ 14-47); от 3 декабря 2014 года № 189-ЗД-V (САЗ 14-49); от 18 мая 2015 года № 82-ЗИ-V (САЗ 15-21); от 25 января 2016 года № 3-ЗД-VI (САЗ 16-4);</w:t>
      </w:r>
      <w:proofErr w:type="gramEnd"/>
      <w:r w:rsidRPr="00DB59F4">
        <w:rPr>
          <w:shd w:val="clear" w:color="auto" w:fill="FFFFFF"/>
        </w:rPr>
        <w:t xml:space="preserve"> от 18 февраля 2016 года № 32-ЗИ-VI (САЗ 16-7); от 5 апреля 2016 года № 72-ЗИ-VI (САЗ 16-14); от 5 апреля 2016 года № 73-ЗИД-VI</w:t>
      </w:r>
      <w:r w:rsidRPr="00DB59F4">
        <w:rPr>
          <w:shd w:val="clear" w:color="auto" w:fill="FFFFFF"/>
        </w:rPr>
        <w:br/>
        <w:t xml:space="preserve">(САЗ 16-14); от 5 апреля 2016 года № 89-ЗД-VI (САЗ 16-14); </w:t>
      </w:r>
      <w:proofErr w:type="gramStart"/>
      <w:r w:rsidRPr="00DB59F4">
        <w:rPr>
          <w:shd w:val="clear" w:color="auto" w:fill="FFFFFF"/>
        </w:rPr>
        <w:t>включая от 10 мая 2016 года № 120-З-VI (САЗ 16-19) с изменениями и дополнениями, внесенными законами Приднестровской Молдавской Республики от 15 ноября 2016 года № 246-ЗИ-VI</w:t>
      </w:r>
      <w:r w:rsidRPr="00DB59F4">
        <w:rPr>
          <w:shd w:val="clear" w:color="auto" w:fill="FFFFFF"/>
        </w:rPr>
        <w:br/>
        <w:t xml:space="preserve">(САЗ 16-46), от 30 декабря 2016 года № 320-ЗИД-VI (САЗ 17-1), от 14 июня 2017 года № 130-ЗИД-VI (САЗ 17-25), от 27 сентября 2017 года № 250-ЗИД-VI (САЗ 17-40) с </w:t>
      </w:r>
      <w:r w:rsidRPr="00DB59F4">
        <w:rPr>
          <w:shd w:val="clear" w:color="auto" w:fill="FFFFFF"/>
        </w:rPr>
        <w:lastRenderedPageBreak/>
        <w:t>дополнением, внесенным Законом Приднестровской Молдавской Республики от 22 декабря</w:t>
      </w:r>
      <w:proofErr w:type="gramEnd"/>
      <w:r w:rsidRPr="00DB59F4">
        <w:rPr>
          <w:shd w:val="clear" w:color="auto" w:fill="FFFFFF"/>
        </w:rPr>
        <w:t xml:space="preserve"> </w:t>
      </w:r>
      <w:proofErr w:type="gramStart"/>
      <w:r w:rsidRPr="00DB59F4">
        <w:rPr>
          <w:shd w:val="clear" w:color="auto" w:fill="FFFFFF"/>
        </w:rPr>
        <w:t>2017 года № 384-ЗД-VI (САЗ 17-52), от 30 ноября 2017 года № 351-ЗИД-VI (САЗ 17-49), от 28 декабря 2017 года № 393-ЗД-VI (САЗ 18-1) с изменением и дополнением, внесенными Законом Приднестровской Молдавской Республики от 1 февраля 2018 года № 20-ЗИД-</w:t>
      </w:r>
      <w:r w:rsidRPr="00DB59F4">
        <w:rPr>
          <w:shd w:val="clear" w:color="auto" w:fill="FFFFFF"/>
          <w:lang w:val="en-US"/>
        </w:rPr>
        <w:t>VI</w:t>
      </w:r>
      <w:r w:rsidRPr="00DB59F4">
        <w:rPr>
          <w:shd w:val="clear" w:color="auto" w:fill="FFFFFF"/>
        </w:rPr>
        <w:t xml:space="preserve"> (официальный сайт Министерства юстиции Приднестровской Молдавской Республики, н</w:t>
      </w:r>
      <w:r w:rsidRPr="00DB59F4">
        <w:rPr>
          <w:bCs/>
          <w:shd w:val="clear" w:color="auto" w:fill="FFFFFF"/>
        </w:rPr>
        <w:t>омер опубликования: 2018000050, дата опубликования: 2 февраля 2018 года);</w:t>
      </w:r>
      <w:proofErr w:type="gramEnd"/>
      <w:r w:rsidRPr="00DB59F4">
        <w:rPr>
          <w:b/>
          <w:bCs/>
          <w:shd w:val="clear" w:color="auto" w:fill="FFFFFF"/>
        </w:rPr>
        <w:t xml:space="preserve"> </w:t>
      </w:r>
      <w:proofErr w:type="gramStart"/>
      <w:r w:rsidRPr="00DB59F4">
        <w:rPr>
          <w:shd w:val="clear" w:color="auto" w:fill="FFFFFF"/>
        </w:rPr>
        <w:t>включая от 6 июня 2016 года № 149-З-VI (САЗ 16-23) с изменениями и дополнениями, внесенными законами Приднестровской Молдавской Республики от 6 октября 2016 года № 224-ЗИД-VI (САЗ 16-41), от 30 декабря 2016 года № 318-ЗИ-VI (САЗ 17-1), от 1 февраля 2017 года № 28-ЗИ-VI (САЗ 17-6), от 10 марта 2017 года № 53-ЗД-VI (САЗ 17-11), от 11 апреля 2017 года № 79-ЗИ-VI (САЗ 17-16), от 28</w:t>
      </w:r>
      <w:proofErr w:type="gramEnd"/>
      <w:r w:rsidRPr="00DB59F4">
        <w:rPr>
          <w:shd w:val="clear" w:color="auto" w:fill="FFFFFF"/>
        </w:rPr>
        <w:t xml:space="preserve"> </w:t>
      </w:r>
      <w:proofErr w:type="gramStart"/>
      <w:r w:rsidRPr="00DB59F4">
        <w:rPr>
          <w:shd w:val="clear" w:color="auto" w:fill="FFFFFF"/>
        </w:rPr>
        <w:t>июня 2017 года № 192-ЗИ-VI(САЗ 17-27), от 30 ноября 2017 года № 351-ЗИД-</w:t>
      </w:r>
      <w:r w:rsidRPr="00DB59F4">
        <w:rPr>
          <w:shd w:val="clear" w:color="auto" w:fill="FFFFFF"/>
          <w:lang w:val="en-US"/>
        </w:rPr>
        <w:t>VI</w:t>
      </w:r>
      <w:r w:rsidRPr="00DB59F4">
        <w:rPr>
          <w:shd w:val="clear" w:color="auto" w:fill="FFFFFF"/>
        </w:rPr>
        <w:t xml:space="preserve"> (САЗ 17-49), а также от 23 декабря 2016 года № 292-ЗИ-VI (САЗ 17-1); от 23 декабря 2016 года № 293-ЗИ-VI (САЗ 17-1); от 28 декабря 2016 года № 313-ЗИ-VI (САЗ 17-1); от 30 декабря 2016 года № 317-ЗД-VI (САЗ 17-1); от 6 января 2017 года № 15-ЗД-VI (САЗ 17-2);</w:t>
      </w:r>
      <w:proofErr w:type="gramEnd"/>
      <w:r w:rsidRPr="00DB59F4">
        <w:rPr>
          <w:shd w:val="clear" w:color="auto" w:fill="FFFFFF"/>
        </w:rPr>
        <w:t xml:space="preserve"> </w:t>
      </w:r>
      <w:proofErr w:type="gramStart"/>
      <w:r w:rsidRPr="00DB59F4">
        <w:rPr>
          <w:shd w:val="clear" w:color="auto" w:fill="FFFFFF"/>
        </w:rPr>
        <w:t>от 16 января 2017 года № 19-ЗД-VI (САЗ 17-4); от 11 мая 2017 года № 107-ЗИ-VI (САЗ 17-20); от 19 июня 2017 года № 167-ЗИ-VI (САЗ 17-25); от 27 сентября 2017 года № 251-ЗИД-VI (САЗ 17-40); от 27 сентября 2017 года № 253-ЗИД-VI (САЗ 17-40); от 1 ноября 2017 года № 300-ЗИ-VI (газета «Приднестровье» от 9 ноября 2017 года № 206 (5893));</w:t>
      </w:r>
      <w:proofErr w:type="gramEnd"/>
      <w:r w:rsidRPr="00DB59F4">
        <w:rPr>
          <w:shd w:val="clear" w:color="auto" w:fill="FFFFFF"/>
        </w:rPr>
        <w:t xml:space="preserve"> от 16 ноября 2017 года № 320-ЗИД-VI (газета «Приднестровье» от 21 ноября 2017 года № 214 (5901));</w:t>
      </w:r>
    </w:p>
    <w:p w:rsidR="00E970B6" w:rsidRDefault="001725F3" w:rsidP="004B2F8A">
      <w:pPr>
        <w:pStyle w:val="41"/>
        <w:shd w:val="clear" w:color="auto" w:fill="auto"/>
        <w:spacing w:before="0" w:after="0" w:line="276" w:lineRule="auto"/>
        <w:ind w:firstLine="709"/>
        <w:jc w:val="both"/>
        <w:rPr>
          <w:sz w:val="24"/>
          <w:szCs w:val="24"/>
          <w:shd w:val="clear" w:color="auto" w:fill="FFFFFF"/>
        </w:rPr>
      </w:pPr>
      <w:proofErr w:type="gramStart"/>
      <w:r w:rsidRPr="00E37206">
        <w:rPr>
          <w:sz w:val="24"/>
          <w:szCs w:val="24"/>
        </w:rPr>
        <w:t xml:space="preserve">в) принятие данного проекта потребует внесение изменений в </w:t>
      </w:r>
      <w:r w:rsidR="004B2F8A" w:rsidRPr="00E37206">
        <w:rPr>
          <w:sz w:val="24"/>
          <w:szCs w:val="24"/>
          <w:shd w:val="clear" w:color="auto" w:fill="FFFFFF"/>
        </w:rPr>
        <w:t>Приказ Министерства финансов Приднестровской Молдавской Республики от 29 декабря 2011 года № 228 «Об утверждении Инструкции «О порядке исчисления и уплаты налога на доходы организаций» (регистрационный № 5882 от 30 декабря 2011 года) (САЗ 12-1) с изменениями и дополнениями, внесенными приказами Министерства финансов Приднестровской Молдавской Республики от 13 августа 2012 года № 128 (Регистрационный № 6145</w:t>
      </w:r>
      <w:proofErr w:type="gramEnd"/>
      <w:r w:rsidR="004B2F8A" w:rsidRPr="00E37206">
        <w:rPr>
          <w:sz w:val="24"/>
          <w:szCs w:val="24"/>
          <w:shd w:val="clear" w:color="auto" w:fill="FFFFFF"/>
        </w:rPr>
        <w:t xml:space="preserve"> </w:t>
      </w:r>
      <w:proofErr w:type="gramStart"/>
      <w:r w:rsidR="004B2F8A" w:rsidRPr="00E37206">
        <w:rPr>
          <w:sz w:val="24"/>
          <w:szCs w:val="24"/>
          <w:shd w:val="clear" w:color="auto" w:fill="FFFFFF"/>
        </w:rPr>
        <w:t>от 20 сентября 2012 года) (САЗ 12-41), от 20 ноября 2012 года № 169 (Регистрационный № 6240 от 18 декабря 2012 года) (САЗ 12-52), от 19 августа 2013 года № 170 (Регистрационный № 6550 от 26 сентября 2013 года) (САЗ 13-38), от 10 декабря 2013 года № 226 (Регистрационный № 6668 от 10 января 2014 года) (САЗ 14-2), от 11 января 2014 № 4 (Регистрационный № 6692 от</w:t>
      </w:r>
      <w:proofErr w:type="gramEnd"/>
      <w:r w:rsidR="004B2F8A" w:rsidRPr="00E37206">
        <w:rPr>
          <w:sz w:val="24"/>
          <w:szCs w:val="24"/>
          <w:shd w:val="clear" w:color="auto" w:fill="FFFFFF"/>
        </w:rPr>
        <w:t xml:space="preserve"> </w:t>
      </w:r>
      <w:proofErr w:type="gramStart"/>
      <w:r w:rsidR="004B2F8A" w:rsidRPr="00E37206">
        <w:rPr>
          <w:sz w:val="24"/>
          <w:szCs w:val="24"/>
          <w:shd w:val="clear" w:color="auto" w:fill="FFFFFF"/>
        </w:rPr>
        <w:t>4 февраля 2014 года) (САЗ 14-6), от 12 февраля 2014 года № 31 (Регистрационный № 6736 от 17 марта 2014 года) (САЗ 14-12), от 17 февраля 2014 года № 37 (Регистрационный № 6729 от 12 марта 2014 года) (САЗ 14-11), от 13 мая 2014 года № 89 (Регистрационный № 6827 от 4 июня 2014 года) (САЗ 14-23), от 3 ноября 2014 года № 161 (Регистрационный № 6957 от</w:t>
      </w:r>
      <w:proofErr w:type="gramEnd"/>
      <w:r w:rsidR="004B2F8A" w:rsidRPr="00E37206">
        <w:rPr>
          <w:sz w:val="24"/>
          <w:szCs w:val="24"/>
          <w:shd w:val="clear" w:color="auto" w:fill="FFFFFF"/>
        </w:rPr>
        <w:t xml:space="preserve"> </w:t>
      </w:r>
      <w:proofErr w:type="gramStart"/>
      <w:r w:rsidR="004B2F8A" w:rsidRPr="00E37206">
        <w:rPr>
          <w:sz w:val="24"/>
          <w:szCs w:val="24"/>
          <w:shd w:val="clear" w:color="auto" w:fill="FFFFFF"/>
        </w:rPr>
        <w:t xml:space="preserve">21 ноября 2014 года) (САЗ 14-47), </w:t>
      </w:r>
      <w:proofErr w:type="gramEnd"/>
    </w:p>
    <w:p w:rsidR="004B2F8A" w:rsidRPr="00E37206" w:rsidRDefault="004B2F8A" w:rsidP="00E970B6">
      <w:pPr>
        <w:pStyle w:val="41"/>
        <w:shd w:val="clear" w:color="auto" w:fill="auto"/>
        <w:spacing w:before="0" w:after="0" w:line="276" w:lineRule="auto"/>
        <w:jc w:val="both"/>
        <w:rPr>
          <w:sz w:val="24"/>
          <w:szCs w:val="24"/>
          <w:shd w:val="clear" w:color="auto" w:fill="FFFFFF"/>
        </w:rPr>
      </w:pPr>
      <w:proofErr w:type="gramStart"/>
      <w:r w:rsidRPr="00E37206">
        <w:rPr>
          <w:sz w:val="24"/>
          <w:szCs w:val="24"/>
          <w:shd w:val="clear" w:color="auto" w:fill="FFFFFF"/>
        </w:rPr>
        <w:t>от 12 декабря 2014 года № 186 (Регистрационный № 7003 от 14 января 2015 года) (САЗ 15-3), от 2 апреля 2015 года № 57 (Регистрационный № 7105 от 15 мая 2015 года)</w:t>
      </w:r>
      <w:r w:rsidRPr="00E37206">
        <w:rPr>
          <w:sz w:val="24"/>
          <w:szCs w:val="24"/>
          <w:shd w:val="clear" w:color="auto" w:fill="FFFFFF"/>
        </w:rPr>
        <w:br/>
        <w:t>(САЗ 15-20), от 29 июня 2015 года № 118 (Регистрационный № 7189 от 28 июля 2015 года) (САЗ 15-31), от 15 марта 2016 года № 36 (Регистрационный № 7392 от 25 марта 2016 года) (САЗ 16-12</w:t>
      </w:r>
      <w:proofErr w:type="gramEnd"/>
      <w:r w:rsidRPr="00E37206">
        <w:rPr>
          <w:sz w:val="24"/>
          <w:szCs w:val="24"/>
          <w:shd w:val="clear" w:color="auto" w:fill="FFFFFF"/>
        </w:rPr>
        <w:t xml:space="preserve">), </w:t>
      </w:r>
      <w:proofErr w:type="gramStart"/>
      <w:r w:rsidRPr="00E37206">
        <w:rPr>
          <w:sz w:val="24"/>
          <w:szCs w:val="24"/>
          <w:shd w:val="clear" w:color="auto" w:fill="FFFFFF"/>
        </w:rPr>
        <w:t>от 22 июня 2016 года № 93 (Регистрационный № 7484 от 19 июля 2016 года) (САЗ 16-29), от 22 июня 2016 года № 93 (Регистрационный № 7484 от 19 июля 2016 года) (САЗ 16-35), от 21 сентября 2016 года № 138 (Регистрационный № 7672 от 1 декабря 2016 года) (САЗ 16-48), от 31 января 2017 года № 13 (Регистрационный № 7780 от 29 марта 2017 года) (САЗ 17-14);</w:t>
      </w:r>
      <w:proofErr w:type="gramEnd"/>
    </w:p>
    <w:p w:rsidR="006A153E" w:rsidRPr="00E37206" w:rsidRDefault="001725F3" w:rsidP="004B2F8A">
      <w:pPr>
        <w:pStyle w:val="41"/>
        <w:shd w:val="clear" w:color="auto" w:fill="auto"/>
        <w:spacing w:before="0" w:after="0" w:line="276" w:lineRule="auto"/>
        <w:ind w:firstLine="709"/>
        <w:jc w:val="both"/>
        <w:rPr>
          <w:sz w:val="24"/>
          <w:szCs w:val="24"/>
        </w:rPr>
      </w:pPr>
      <w:r w:rsidRPr="00E37206">
        <w:rPr>
          <w:rStyle w:val="margin"/>
          <w:color w:val="000000" w:themeColor="text1"/>
          <w:sz w:val="24"/>
          <w:szCs w:val="24"/>
        </w:rPr>
        <w:t>г</w:t>
      </w:r>
      <w:r w:rsidR="00197E3C" w:rsidRPr="00E37206">
        <w:rPr>
          <w:rStyle w:val="margin"/>
          <w:color w:val="000000" w:themeColor="text1"/>
          <w:sz w:val="24"/>
          <w:szCs w:val="24"/>
        </w:rPr>
        <w:t xml:space="preserve">) </w:t>
      </w:r>
      <w:r w:rsidR="006A153E" w:rsidRPr="00E37206">
        <w:rPr>
          <w:sz w:val="24"/>
          <w:szCs w:val="24"/>
        </w:rPr>
        <w:t>реализация законопроекта не требует дополнительных материальных и иных затрат;</w:t>
      </w:r>
    </w:p>
    <w:p w:rsidR="006A153E" w:rsidRPr="00E37206" w:rsidRDefault="006A153E" w:rsidP="00170FE7">
      <w:pPr>
        <w:spacing w:line="276" w:lineRule="auto"/>
        <w:ind w:firstLine="709"/>
        <w:jc w:val="both"/>
      </w:pPr>
      <w:r w:rsidRPr="00E37206">
        <w:lastRenderedPageBreak/>
        <w:t>д) принятие настоящего проекта закона не потребует принятие отдельного нормативного правового акта о порядке вступления его в силу.</w:t>
      </w:r>
    </w:p>
    <w:p w:rsidR="006A153E" w:rsidRPr="00E37206" w:rsidRDefault="006A153E" w:rsidP="00170FE7">
      <w:pPr>
        <w:spacing w:line="276" w:lineRule="auto"/>
        <w:ind w:firstLine="709"/>
        <w:jc w:val="both"/>
      </w:pPr>
    </w:p>
    <w:p w:rsidR="006A153E" w:rsidRPr="00E37206" w:rsidRDefault="006A153E" w:rsidP="00170FE7">
      <w:pPr>
        <w:spacing w:line="276" w:lineRule="auto"/>
        <w:ind w:firstLine="709"/>
        <w:jc w:val="both"/>
      </w:pPr>
    </w:p>
    <w:p w:rsidR="000F644C" w:rsidRDefault="000F644C" w:rsidP="000F644C">
      <w:pPr>
        <w:tabs>
          <w:tab w:val="left" w:pos="720"/>
          <w:tab w:val="left" w:pos="900"/>
        </w:tabs>
        <w:spacing w:line="276" w:lineRule="auto"/>
        <w:jc w:val="both"/>
      </w:pPr>
      <w:r>
        <w:t>Заместитель Председателя Правительства</w:t>
      </w:r>
    </w:p>
    <w:p w:rsidR="000F644C" w:rsidRDefault="000F644C" w:rsidP="000F644C">
      <w:pPr>
        <w:tabs>
          <w:tab w:val="left" w:pos="720"/>
          <w:tab w:val="left" w:pos="900"/>
        </w:tabs>
        <w:spacing w:line="276" w:lineRule="auto"/>
        <w:jc w:val="both"/>
      </w:pPr>
      <w:r>
        <w:t xml:space="preserve">Приднестровской Молдавской Республики – </w:t>
      </w:r>
    </w:p>
    <w:p w:rsidR="000F644C" w:rsidRDefault="000F644C" w:rsidP="000F644C">
      <w:pPr>
        <w:tabs>
          <w:tab w:val="left" w:pos="720"/>
          <w:tab w:val="left" w:pos="900"/>
        </w:tabs>
        <w:spacing w:line="276" w:lineRule="auto"/>
        <w:jc w:val="both"/>
      </w:pPr>
      <w:r>
        <w:t>министр экономического развития</w:t>
      </w:r>
    </w:p>
    <w:p w:rsidR="000F644C" w:rsidRPr="00E37206" w:rsidRDefault="000F644C" w:rsidP="000F644C">
      <w:pPr>
        <w:tabs>
          <w:tab w:val="left" w:pos="720"/>
          <w:tab w:val="left" w:pos="900"/>
        </w:tabs>
        <w:spacing w:line="276" w:lineRule="auto"/>
        <w:jc w:val="both"/>
      </w:pPr>
      <w:r>
        <w:t>Приднестровской Молдавской Республики</w:t>
      </w:r>
      <w:r w:rsidRPr="00E37206">
        <w:t xml:space="preserve">                          </w:t>
      </w:r>
      <w:r>
        <w:t xml:space="preserve">                             С. А. </w:t>
      </w:r>
      <w:proofErr w:type="spellStart"/>
      <w:r>
        <w:t>Оболоник</w:t>
      </w:r>
      <w:proofErr w:type="spellEnd"/>
    </w:p>
    <w:p w:rsidR="000F644C" w:rsidRPr="00E37206" w:rsidRDefault="000F644C" w:rsidP="000F644C">
      <w:pPr>
        <w:spacing w:line="276" w:lineRule="auto"/>
      </w:pPr>
      <w:r w:rsidRPr="00E37206">
        <w:t>«____»____________201</w:t>
      </w:r>
      <w:r>
        <w:t>8</w:t>
      </w:r>
      <w:r w:rsidRPr="00E37206">
        <w:t xml:space="preserve"> год</w:t>
      </w:r>
    </w:p>
    <w:p w:rsidR="00ED3608" w:rsidRPr="00E37206" w:rsidRDefault="00ED3608"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pPr>
    </w:p>
    <w:p w:rsidR="00AF134F" w:rsidRPr="00E37206" w:rsidRDefault="00AF134F" w:rsidP="001B7012">
      <w:pPr>
        <w:tabs>
          <w:tab w:val="left" w:pos="993"/>
        </w:tabs>
        <w:jc w:val="both"/>
        <w:sectPr w:rsidR="00AF134F" w:rsidRPr="00E37206" w:rsidSect="00E64F15">
          <w:pgSz w:w="11906" w:h="16838"/>
          <w:pgMar w:top="1134" w:right="850" w:bottom="1134" w:left="1701" w:header="709" w:footer="709" w:gutter="0"/>
          <w:cols w:space="708"/>
          <w:docGrid w:linePitch="360"/>
        </w:sectPr>
      </w:pPr>
    </w:p>
    <w:p w:rsidR="008E707D" w:rsidRPr="00E37206" w:rsidRDefault="008E707D" w:rsidP="008E707D">
      <w:pPr>
        <w:shd w:val="clear" w:color="auto" w:fill="FFFFFF"/>
        <w:spacing w:line="276" w:lineRule="auto"/>
        <w:jc w:val="center"/>
        <w:rPr>
          <w:b/>
        </w:rPr>
      </w:pPr>
      <w:r w:rsidRPr="00E37206">
        <w:lastRenderedPageBreak/>
        <w:t>Сравнительная таблица</w:t>
      </w:r>
    </w:p>
    <w:p w:rsidR="008E707D" w:rsidRPr="00E37206" w:rsidRDefault="008E707D" w:rsidP="008E707D">
      <w:pPr>
        <w:pStyle w:val="41"/>
        <w:shd w:val="clear" w:color="auto" w:fill="auto"/>
        <w:spacing w:before="0" w:after="0" w:line="276" w:lineRule="auto"/>
        <w:jc w:val="center"/>
        <w:rPr>
          <w:sz w:val="24"/>
          <w:szCs w:val="24"/>
        </w:rPr>
      </w:pPr>
      <w:r w:rsidRPr="00E37206">
        <w:rPr>
          <w:sz w:val="24"/>
          <w:szCs w:val="24"/>
        </w:rPr>
        <w:t>к проекту закона Приднестровской Молдавской Республики</w:t>
      </w:r>
    </w:p>
    <w:p w:rsidR="00AF134F" w:rsidRPr="00E37206" w:rsidRDefault="008E707D" w:rsidP="00A57E71">
      <w:pPr>
        <w:pStyle w:val="41"/>
        <w:shd w:val="clear" w:color="auto" w:fill="auto"/>
        <w:spacing w:before="0" w:after="0" w:line="276" w:lineRule="auto"/>
        <w:jc w:val="center"/>
        <w:rPr>
          <w:sz w:val="24"/>
          <w:szCs w:val="24"/>
        </w:rPr>
      </w:pPr>
      <w:r w:rsidRPr="00E37206">
        <w:rPr>
          <w:sz w:val="24"/>
          <w:szCs w:val="24"/>
        </w:rPr>
        <w:t xml:space="preserve">«О </w:t>
      </w:r>
      <w:r w:rsidRPr="00B343C8">
        <w:rPr>
          <w:sz w:val="24"/>
          <w:szCs w:val="24"/>
        </w:rPr>
        <w:t xml:space="preserve">внесении </w:t>
      </w:r>
      <w:r w:rsidR="00E7565C" w:rsidRPr="00B343C8">
        <w:rPr>
          <w:sz w:val="24"/>
          <w:szCs w:val="24"/>
        </w:rPr>
        <w:t xml:space="preserve">изменения и дополнений </w:t>
      </w:r>
      <w:r w:rsidRPr="00B343C8">
        <w:rPr>
          <w:sz w:val="24"/>
          <w:szCs w:val="24"/>
        </w:rPr>
        <w:t xml:space="preserve">в </w:t>
      </w:r>
      <w:r w:rsidR="00A57E71" w:rsidRPr="00B343C8">
        <w:rPr>
          <w:sz w:val="24"/>
          <w:szCs w:val="24"/>
        </w:rPr>
        <w:t>некоторые</w:t>
      </w:r>
      <w:r w:rsidR="00A57E71">
        <w:rPr>
          <w:sz w:val="24"/>
          <w:szCs w:val="24"/>
        </w:rPr>
        <w:t xml:space="preserve"> законодательные акты Приднестровской Молдавской Республики</w:t>
      </w:r>
      <w:r w:rsidRPr="00E37206">
        <w:rPr>
          <w:sz w:val="24"/>
          <w:szCs w:val="24"/>
        </w:rPr>
        <w:t>»</w:t>
      </w:r>
    </w:p>
    <w:tbl>
      <w:tblPr>
        <w:tblStyle w:val="ab"/>
        <w:tblW w:w="0" w:type="auto"/>
        <w:tblLook w:val="04A0" w:firstRow="1" w:lastRow="0" w:firstColumn="1" w:lastColumn="0" w:noHBand="0" w:noVBand="1"/>
      </w:tblPr>
      <w:tblGrid>
        <w:gridCol w:w="7393"/>
        <w:gridCol w:w="7393"/>
      </w:tblGrid>
      <w:tr w:rsidR="00AF134F" w:rsidRPr="00E37206" w:rsidTr="00AF134F">
        <w:tc>
          <w:tcPr>
            <w:tcW w:w="7393" w:type="dxa"/>
          </w:tcPr>
          <w:p w:rsidR="0095219A" w:rsidRPr="00E37206" w:rsidRDefault="00AF134F" w:rsidP="0095219A">
            <w:pPr>
              <w:tabs>
                <w:tab w:val="left" w:pos="993"/>
              </w:tabs>
              <w:ind w:firstLine="284"/>
              <w:jc w:val="center"/>
            </w:pPr>
            <w:r w:rsidRPr="00E37206">
              <w:t>Текущая редакция</w:t>
            </w:r>
          </w:p>
        </w:tc>
        <w:tc>
          <w:tcPr>
            <w:tcW w:w="7393" w:type="dxa"/>
          </w:tcPr>
          <w:p w:rsidR="00AF134F" w:rsidRPr="00E37206" w:rsidRDefault="00AF134F" w:rsidP="00AF134F">
            <w:pPr>
              <w:tabs>
                <w:tab w:val="left" w:pos="993"/>
              </w:tabs>
              <w:ind w:firstLine="284"/>
              <w:jc w:val="center"/>
            </w:pPr>
            <w:r w:rsidRPr="00E37206">
              <w:t>Предлагаемая редакция</w:t>
            </w:r>
          </w:p>
        </w:tc>
      </w:tr>
      <w:tr w:rsidR="00A57E71" w:rsidRPr="00E37206" w:rsidTr="00701641">
        <w:tc>
          <w:tcPr>
            <w:tcW w:w="14786" w:type="dxa"/>
            <w:gridSpan w:val="2"/>
          </w:tcPr>
          <w:p w:rsidR="00A57E71" w:rsidRPr="00E37206" w:rsidRDefault="00A57E71" w:rsidP="00A57E71">
            <w:pPr>
              <w:pStyle w:val="ad"/>
              <w:shd w:val="clear" w:color="auto" w:fill="FFFFFF"/>
              <w:spacing w:before="0" w:beforeAutospacing="0" w:after="0" w:afterAutospacing="0"/>
              <w:jc w:val="center"/>
              <w:rPr>
                <w:b/>
              </w:rPr>
            </w:pPr>
            <w:r w:rsidRPr="00E37206">
              <w:rPr>
                <w:shd w:val="clear" w:color="auto" w:fill="FFFFFF"/>
              </w:rPr>
              <w:t>Закон Приднестровской Молдавской Республики «О дополнительных мерах, направленных на стабилизацию экономики Приднестровской Молдавской Республики»</w:t>
            </w:r>
          </w:p>
        </w:tc>
      </w:tr>
      <w:tr w:rsidR="00A57E71" w:rsidRPr="00E37206" w:rsidTr="00E7565C">
        <w:trPr>
          <w:trHeight w:val="1320"/>
        </w:trPr>
        <w:tc>
          <w:tcPr>
            <w:tcW w:w="7393" w:type="dxa"/>
            <w:tcBorders>
              <w:bottom w:val="single" w:sz="4" w:space="0" w:color="auto"/>
            </w:tcBorders>
          </w:tcPr>
          <w:p w:rsidR="0095219A" w:rsidRPr="0095219A" w:rsidRDefault="0095219A" w:rsidP="00B343C8">
            <w:pPr>
              <w:spacing w:line="276" w:lineRule="auto"/>
              <w:ind w:firstLine="284"/>
              <w:jc w:val="both"/>
            </w:pPr>
            <w:r w:rsidRPr="0095219A">
              <w:t>Статья 11.</w:t>
            </w:r>
          </w:p>
          <w:p w:rsidR="0095219A" w:rsidRPr="0095219A" w:rsidRDefault="0095219A" w:rsidP="00B343C8">
            <w:pPr>
              <w:spacing w:line="276" w:lineRule="auto"/>
              <w:ind w:firstLine="284"/>
              <w:jc w:val="both"/>
            </w:pPr>
            <w:r w:rsidRPr="0095219A">
              <w:t>…</w:t>
            </w:r>
          </w:p>
          <w:p w:rsidR="0095219A" w:rsidRPr="0095219A" w:rsidRDefault="0095219A" w:rsidP="00B343C8">
            <w:pPr>
              <w:spacing w:line="276" w:lineRule="auto"/>
              <w:ind w:firstLine="284"/>
              <w:jc w:val="both"/>
            </w:pPr>
            <w:r w:rsidRPr="0095219A">
              <w:t xml:space="preserve">3. </w:t>
            </w:r>
            <w:r w:rsidRPr="0095219A">
              <w:rPr>
                <w:b/>
              </w:rPr>
              <w:t>Пункты 2, 4, 5</w:t>
            </w:r>
            <w:r w:rsidRPr="0095219A">
              <w:t xml:space="preserve"> статьи 1 </w:t>
            </w:r>
            <w:r w:rsidRPr="0095219A">
              <w:rPr>
                <w:b/>
              </w:rPr>
              <w:t>вступают</w:t>
            </w:r>
            <w:r w:rsidRPr="0095219A">
              <w:t xml:space="preserve"> в силу с 1 апреля 2016 года и </w:t>
            </w:r>
            <w:r w:rsidRPr="0095219A">
              <w:rPr>
                <w:b/>
              </w:rPr>
              <w:t>действуют</w:t>
            </w:r>
            <w:r w:rsidRPr="0095219A">
              <w:t xml:space="preserve"> по 31 декабря 2018 года.</w:t>
            </w:r>
          </w:p>
          <w:p w:rsidR="00A57E71" w:rsidRPr="0095219A" w:rsidRDefault="00A57E71" w:rsidP="00B343C8">
            <w:pPr>
              <w:spacing w:line="276" w:lineRule="auto"/>
              <w:ind w:firstLine="284"/>
              <w:jc w:val="both"/>
            </w:pPr>
          </w:p>
        </w:tc>
        <w:tc>
          <w:tcPr>
            <w:tcW w:w="7393" w:type="dxa"/>
            <w:tcBorders>
              <w:bottom w:val="single" w:sz="4" w:space="0" w:color="auto"/>
            </w:tcBorders>
          </w:tcPr>
          <w:p w:rsidR="0095219A" w:rsidRPr="0095219A" w:rsidRDefault="0095219A" w:rsidP="00B343C8">
            <w:pPr>
              <w:spacing w:line="276" w:lineRule="auto"/>
              <w:ind w:firstLine="284"/>
              <w:jc w:val="both"/>
            </w:pPr>
            <w:r w:rsidRPr="0095219A">
              <w:t>Статья 11.</w:t>
            </w:r>
          </w:p>
          <w:p w:rsidR="0095219A" w:rsidRPr="0095219A" w:rsidRDefault="0095219A" w:rsidP="00B343C8">
            <w:pPr>
              <w:spacing w:line="276" w:lineRule="auto"/>
              <w:ind w:firstLine="284"/>
              <w:jc w:val="both"/>
            </w:pPr>
            <w:r w:rsidRPr="0095219A">
              <w:t>…</w:t>
            </w:r>
          </w:p>
          <w:p w:rsidR="0095219A" w:rsidRPr="0095219A" w:rsidRDefault="0095219A" w:rsidP="00B343C8">
            <w:pPr>
              <w:spacing w:line="276" w:lineRule="auto"/>
              <w:ind w:firstLine="284"/>
              <w:jc w:val="both"/>
              <w:rPr>
                <w:shd w:val="clear" w:color="auto" w:fill="FFFFFF"/>
              </w:rPr>
            </w:pPr>
            <w:r w:rsidRPr="0095219A">
              <w:rPr>
                <w:shd w:val="clear" w:color="auto" w:fill="FFFFFF"/>
              </w:rPr>
              <w:t xml:space="preserve"> </w:t>
            </w:r>
            <w:r w:rsidR="00E7565C">
              <w:rPr>
                <w:shd w:val="clear" w:color="auto" w:fill="FFFFFF"/>
              </w:rPr>
              <w:t>3.</w:t>
            </w:r>
            <w:r w:rsidRPr="0095219A">
              <w:rPr>
                <w:shd w:val="clear" w:color="auto" w:fill="FFFFFF"/>
              </w:rPr>
              <w:t xml:space="preserve"> </w:t>
            </w:r>
            <w:r w:rsidRPr="0095219A">
              <w:rPr>
                <w:b/>
                <w:shd w:val="clear" w:color="auto" w:fill="FFFFFF"/>
              </w:rPr>
              <w:t>Пункт 2</w:t>
            </w:r>
            <w:r w:rsidRPr="0095219A">
              <w:rPr>
                <w:shd w:val="clear" w:color="auto" w:fill="FFFFFF"/>
              </w:rPr>
              <w:t xml:space="preserve"> статьи 1 </w:t>
            </w:r>
            <w:r w:rsidRPr="0095219A">
              <w:rPr>
                <w:b/>
                <w:shd w:val="clear" w:color="auto" w:fill="FFFFFF"/>
              </w:rPr>
              <w:t xml:space="preserve">вступает </w:t>
            </w:r>
            <w:r w:rsidRPr="0095219A">
              <w:rPr>
                <w:shd w:val="clear" w:color="auto" w:fill="FFFFFF"/>
              </w:rPr>
              <w:t xml:space="preserve">в силу с 1 апреля 2016 года и </w:t>
            </w:r>
            <w:r w:rsidRPr="0095219A">
              <w:rPr>
                <w:b/>
                <w:shd w:val="clear" w:color="auto" w:fill="FFFFFF"/>
              </w:rPr>
              <w:t>действует</w:t>
            </w:r>
            <w:r w:rsidRPr="0095219A">
              <w:rPr>
                <w:shd w:val="clear" w:color="auto" w:fill="FFFFFF"/>
              </w:rPr>
              <w:t xml:space="preserve"> по 31 декабря 2018 года</w:t>
            </w:r>
            <w:r>
              <w:rPr>
                <w:shd w:val="clear" w:color="auto" w:fill="FFFFFF"/>
              </w:rPr>
              <w:t>.</w:t>
            </w:r>
          </w:p>
          <w:p w:rsidR="00A57E71" w:rsidRPr="0095219A" w:rsidRDefault="00A57E71" w:rsidP="00B343C8">
            <w:pPr>
              <w:spacing w:line="276" w:lineRule="auto"/>
              <w:ind w:firstLine="284"/>
              <w:jc w:val="both"/>
            </w:pPr>
          </w:p>
        </w:tc>
      </w:tr>
      <w:tr w:rsidR="00E7565C" w:rsidRPr="00E37206" w:rsidTr="00E7565C">
        <w:trPr>
          <w:trHeight w:val="665"/>
        </w:trPr>
        <w:tc>
          <w:tcPr>
            <w:tcW w:w="7393" w:type="dxa"/>
            <w:tcBorders>
              <w:top w:val="single" w:sz="4" w:space="0" w:color="auto"/>
            </w:tcBorders>
          </w:tcPr>
          <w:p w:rsidR="00E7565C" w:rsidRPr="00B343C8" w:rsidRDefault="00E7565C" w:rsidP="00B343C8">
            <w:pPr>
              <w:spacing w:line="276" w:lineRule="auto"/>
              <w:ind w:firstLine="284"/>
              <w:jc w:val="both"/>
            </w:pPr>
            <w:r w:rsidRPr="00B343C8">
              <w:t>Статья 11.</w:t>
            </w:r>
          </w:p>
          <w:p w:rsidR="00E7565C" w:rsidRPr="00B343C8" w:rsidRDefault="00E7565C" w:rsidP="00B343C8">
            <w:pPr>
              <w:spacing w:line="276" w:lineRule="auto"/>
              <w:ind w:firstLine="284"/>
              <w:jc w:val="both"/>
            </w:pPr>
            <w:r w:rsidRPr="00B343C8">
              <w:t>…</w:t>
            </w:r>
          </w:p>
          <w:p w:rsidR="00E7565C" w:rsidRPr="00B343C8" w:rsidRDefault="00E7565C" w:rsidP="00B343C8">
            <w:pPr>
              <w:spacing w:line="276" w:lineRule="auto"/>
              <w:ind w:firstLine="284"/>
              <w:jc w:val="both"/>
            </w:pPr>
            <w:r w:rsidRPr="00B343C8">
              <w:t xml:space="preserve">3-1. </w:t>
            </w:r>
            <w:r w:rsidRPr="00B343C8">
              <w:rPr>
                <w:b/>
              </w:rPr>
              <w:t>отсутствует</w:t>
            </w:r>
            <w:r w:rsidRPr="00B343C8">
              <w:t>.</w:t>
            </w:r>
          </w:p>
          <w:p w:rsidR="00E7565C" w:rsidRPr="00B343C8" w:rsidRDefault="00E7565C" w:rsidP="00B343C8">
            <w:pPr>
              <w:spacing w:line="276" w:lineRule="auto"/>
              <w:ind w:firstLine="284"/>
              <w:jc w:val="both"/>
            </w:pPr>
          </w:p>
        </w:tc>
        <w:tc>
          <w:tcPr>
            <w:tcW w:w="7393" w:type="dxa"/>
            <w:tcBorders>
              <w:top w:val="single" w:sz="4" w:space="0" w:color="auto"/>
            </w:tcBorders>
          </w:tcPr>
          <w:p w:rsidR="00E7565C" w:rsidRPr="00B343C8" w:rsidRDefault="00E7565C" w:rsidP="00B343C8">
            <w:pPr>
              <w:spacing w:line="276" w:lineRule="auto"/>
              <w:ind w:firstLine="284"/>
              <w:jc w:val="both"/>
            </w:pPr>
            <w:r w:rsidRPr="00B343C8">
              <w:t>Статья 11.</w:t>
            </w:r>
          </w:p>
          <w:p w:rsidR="00E7565C" w:rsidRPr="00B343C8" w:rsidRDefault="00E7565C" w:rsidP="00B343C8">
            <w:pPr>
              <w:spacing w:line="276" w:lineRule="auto"/>
              <w:ind w:firstLine="284"/>
              <w:jc w:val="both"/>
            </w:pPr>
            <w:r w:rsidRPr="00B343C8">
              <w:t>…</w:t>
            </w:r>
          </w:p>
          <w:p w:rsidR="00E7565C" w:rsidRPr="00B343C8" w:rsidRDefault="00DA250F" w:rsidP="00B343C8">
            <w:pPr>
              <w:spacing w:line="276" w:lineRule="auto"/>
              <w:ind w:firstLine="284"/>
              <w:jc w:val="both"/>
              <w:rPr>
                <w:shd w:val="clear" w:color="auto" w:fill="FFFFFF"/>
              </w:rPr>
            </w:pPr>
            <w:r w:rsidRPr="00B343C8">
              <w:rPr>
                <w:shd w:val="clear" w:color="auto" w:fill="FFFFFF"/>
              </w:rPr>
              <w:t xml:space="preserve"> 3-1. Пункты 4, </w:t>
            </w:r>
            <w:r w:rsidR="00E7565C" w:rsidRPr="00B343C8">
              <w:rPr>
                <w:shd w:val="clear" w:color="auto" w:fill="FFFFFF"/>
              </w:rPr>
              <w:t>5 статьи 1 вступают в силу с 1 апреля 2016 года и действуют по 31 декабря 2017 года.</w:t>
            </w:r>
          </w:p>
          <w:p w:rsidR="00E7565C" w:rsidRPr="00B343C8" w:rsidRDefault="00E7565C" w:rsidP="00B343C8">
            <w:pPr>
              <w:spacing w:line="276" w:lineRule="auto"/>
              <w:ind w:firstLine="284"/>
              <w:jc w:val="both"/>
            </w:pPr>
          </w:p>
        </w:tc>
      </w:tr>
      <w:tr w:rsidR="00E7565C" w:rsidRPr="00E37206" w:rsidTr="00701641">
        <w:tc>
          <w:tcPr>
            <w:tcW w:w="14786" w:type="dxa"/>
            <w:gridSpan w:val="2"/>
          </w:tcPr>
          <w:p w:rsidR="00E7565C" w:rsidRPr="00E37206" w:rsidRDefault="00E7565C" w:rsidP="00B343C8">
            <w:pPr>
              <w:spacing w:line="276" w:lineRule="auto"/>
              <w:jc w:val="center"/>
            </w:pPr>
            <w:r>
              <w:t>Закон Приднестровской Молдавской Республики «О налоге на доходы организаций»</w:t>
            </w:r>
          </w:p>
        </w:tc>
      </w:tr>
      <w:tr w:rsidR="00E7565C" w:rsidRPr="00E37206" w:rsidTr="00AF134F">
        <w:tc>
          <w:tcPr>
            <w:tcW w:w="7393" w:type="dxa"/>
          </w:tcPr>
          <w:p w:rsidR="00E7565C" w:rsidRDefault="00E7565C" w:rsidP="00B343C8">
            <w:pPr>
              <w:spacing w:line="276" w:lineRule="auto"/>
              <w:ind w:firstLine="284"/>
              <w:jc w:val="both"/>
            </w:pPr>
            <w:r>
              <w:t>Статья 11. Переходные положения</w:t>
            </w:r>
          </w:p>
          <w:p w:rsidR="00E7565C" w:rsidRDefault="00E7565C" w:rsidP="00B343C8">
            <w:pPr>
              <w:spacing w:line="276" w:lineRule="auto"/>
              <w:ind w:firstLine="284"/>
              <w:jc w:val="both"/>
            </w:pPr>
            <w:r>
              <w:t>…</w:t>
            </w:r>
          </w:p>
          <w:p w:rsidR="00E7565C" w:rsidRPr="0095219A" w:rsidRDefault="00E7565C" w:rsidP="00B343C8">
            <w:pPr>
              <w:spacing w:line="276" w:lineRule="auto"/>
              <w:ind w:firstLine="284"/>
              <w:jc w:val="both"/>
              <w:rPr>
                <w:b/>
              </w:rPr>
            </w:pPr>
            <w:r w:rsidRPr="0095219A">
              <w:rPr>
                <w:b/>
              </w:rPr>
              <w:t>отсутствуют</w:t>
            </w:r>
          </w:p>
        </w:tc>
        <w:tc>
          <w:tcPr>
            <w:tcW w:w="7393" w:type="dxa"/>
          </w:tcPr>
          <w:p w:rsidR="00E7565C" w:rsidRDefault="00E7565C" w:rsidP="00B343C8">
            <w:pPr>
              <w:spacing w:line="276" w:lineRule="auto"/>
              <w:ind w:firstLine="284"/>
              <w:jc w:val="both"/>
            </w:pPr>
            <w:r>
              <w:t>Статья 11. Переходные положения</w:t>
            </w:r>
          </w:p>
          <w:p w:rsidR="00E7565C" w:rsidRDefault="00E7565C" w:rsidP="00B343C8">
            <w:pPr>
              <w:spacing w:line="276" w:lineRule="auto"/>
              <w:ind w:firstLine="284"/>
              <w:jc w:val="both"/>
            </w:pPr>
            <w:r>
              <w:t>…</w:t>
            </w:r>
          </w:p>
          <w:p w:rsidR="0081108F" w:rsidRPr="0081108F" w:rsidRDefault="0081108F" w:rsidP="0081108F">
            <w:pPr>
              <w:spacing w:line="276" w:lineRule="auto"/>
              <w:ind w:firstLine="709"/>
              <w:jc w:val="both"/>
              <w:rPr>
                <w:b/>
              </w:rPr>
            </w:pPr>
            <w:r w:rsidRPr="0081108F">
              <w:rPr>
                <w:b/>
              </w:rPr>
              <w:t>На период с 1 января 2018 года по 31 декабря 2018 года доходы, полученные организациями швейной промышленности, от выполнения работ по переработке давальческого сырья, материалов, в результате которой производится новая движимая вещь, облагаются по ставкам, установленным настоящим Законом для соответствующего вида деятельности, с учётом коэффициента 1,3.</w:t>
            </w:r>
          </w:p>
          <w:p w:rsidR="0081108F" w:rsidRPr="0081108F" w:rsidRDefault="0081108F" w:rsidP="0081108F">
            <w:pPr>
              <w:spacing w:line="276" w:lineRule="auto"/>
              <w:ind w:firstLine="709"/>
              <w:jc w:val="both"/>
              <w:rPr>
                <w:b/>
              </w:rPr>
            </w:pPr>
            <w:r w:rsidRPr="0081108F">
              <w:rPr>
                <w:b/>
              </w:rPr>
              <w:t>Для получения льготы, указанной в части шестой настоящей статьи, организации обязаны выполнять следующие условия:</w:t>
            </w:r>
          </w:p>
          <w:p w:rsidR="0081108F" w:rsidRPr="0081108F" w:rsidRDefault="0081108F" w:rsidP="0081108F">
            <w:pPr>
              <w:spacing w:line="276" w:lineRule="auto"/>
              <w:ind w:firstLine="709"/>
              <w:jc w:val="both"/>
              <w:rPr>
                <w:b/>
              </w:rPr>
            </w:pPr>
            <w:r w:rsidRPr="0081108F">
              <w:rPr>
                <w:b/>
              </w:rPr>
              <w:lastRenderedPageBreak/>
              <w:t>а) недопущение снижения совокупных сумм налоговых платежей, поступающих в бюджеты различных уровней и внебюджетные фонды, в целом за год по сравнению с общей суммой налоговых платежей за предыдущий финансовый год;</w:t>
            </w:r>
          </w:p>
          <w:p w:rsidR="0081108F" w:rsidRPr="0081108F" w:rsidRDefault="0081108F" w:rsidP="0081108F">
            <w:pPr>
              <w:spacing w:line="276" w:lineRule="auto"/>
              <w:ind w:firstLine="709"/>
              <w:jc w:val="both"/>
              <w:rPr>
                <w:b/>
              </w:rPr>
            </w:pPr>
            <w:r w:rsidRPr="0081108F">
              <w:rPr>
                <w:b/>
              </w:rPr>
              <w:t>б) недопущение уменьшения фонда заработной платы в целом за год по сравнению с размером фонда заработной платы за предыдущий год;</w:t>
            </w:r>
          </w:p>
          <w:p w:rsidR="0081108F" w:rsidRPr="0081108F" w:rsidRDefault="0081108F" w:rsidP="0081108F">
            <w:pPr>
              <w:spacing w:line="276" w:lineRule="auto"/>
              <w:ind w:firstLine="709"/>
              <w:jc w:val="both"/>
              <w:rPr>
                <w:b/>
              </w:rPr>
            </w:pPr>
            <w:r w:rsidRPr="0081108F">
              <w:rPr>
                <w:b/>
              </w:rPr>
              <w:t>в) неосуществление начисления и выплаты дивидендов, процентов и других доходов от участия в капитале по итогам предыдущего и текущего года;</w:t>
            </w:r>
          </w:p>
          <w:p w:rsidR="0081108F" w:rsidRPr="0081108F" w:rsidRDefault="0081108F" w:rsidP="0081108F">
            <w:pPr>
              <w:spacing w:line="276" w:lineRule="auto"/>
              <w:ind w:firstLine="709"/>
              <w:jc w:val="both"/>
              <w:rPr>
                <w:b/>
              </w:rPr>
            </w:pPr>
            <w:r w:rsidRPr="0081108F">
              <w:rPr>
                <w:b/>
              </w:rPr>
              <w:t>г) реинвестирование чистой прибыли, оставшейся после формирования обязательных резервных фондов, установленных действующим законодательством Приднестровской Молдавской Республики, за 2018 год.</w:t>
            </w:r>
          </w:p>
          <w:p w:rsidR="0081108F" w:rsidRPr="0081108F" w:rsidRDefault="0081108F" w:rsidP="0081108F">
            <w:pPr>
              <w:spacing w:line="276" w:lineRule="auto"/>
              <w:ind w:firstLine="709"/>
              <w:jc w:val="both"/>
              <w:rPr>
                <w:b/>
              </w:rPr>
            </w:pPr>
            <w:r w:rsidRPr="0081108F">
              <w:rPr>
                <w:b/>
                <w:color w:val="000000"/>
              </w:rPr>
              <w:t xml:space="preserve">В случае невыполнения по итогам 2018 года предусмотренных частью седьмой </w:t>
            </w:r>
            <w:r w:rsidRPr="0081108F">
              <w:rPr>
                <w:b/>
              </w:rPr>
              <w:t xml:space="preserve">настоящей статьи </w:t>
            </w:r>
            <w:r w:rsidRPr="0081108F">
              <w:rPr>
                <w:b/>
                <w:color w:val="000000"/>
              </w:rPr>
              <w:t xml:space="preserve">условий </w:t>
            </w:r>
            <w:r w:rsidRPr="0081108F">
              <w:rPr>
                <w:b/>
              </w:rPr>
              <w:t xml:space="preserve">организация возмещает бюджету сумму предоставленной в соответствии с частью шестой настоящей статьи льготы, скорректированной на коэффициент инфляции. </w:t>
            </w:r>
          </w:p>
          <w:p w:rsidR="00E7565C" w:rsidRPr="00E37206" w:rsidRDefault="0081108F" w:rsidP="0081108F">
            <w:pPr>
              <w:spacing w:line="276" w:lineRule="auto"/>
              <w:ind w:firstLine="709"/>
              <w:jc w:val="both"/>
            </w:pPr>
            <w:r w:rsidRPr="0081108F">
              <w:rPr>
                <w:b/>
              </w:rPr>
              <w:t>Порядок восстановления предоставленных в соответствии с частью шестой настоящей статьи льгот определяется уполномоченным Правительством Приднестровской Молдавской Республики исполнительным органом государственной власти.</w:t>
            </w:r>
          </w:p>
        </w:tc>
      </w:tr>
    </w:tbl>
    <w:p w:rsidR="00152325" w:rsidRPr="00E37206" w:rsidRDefault="00152325" w:rsidP="00892240">
      <w:pPr>
        <w:tabs>
          <w:tab w:val="left" w:pos="993"/>
        </w:tabs>
        <w:sectPr w:rsidR="00152325" w:rsidRPr="00E37206" w:rsidSect="00AF134F">
          <w:pgSz w:w="16838" w:h="11906" w:orient="landscape"/>
          <w:pgMar w:top="1701" w:right="1134" w:bottom="851" w:left="1134" w:header="709" w:footer="709" w:gutter="0"/>
          <w:cols w:space="708"/>
          <w:docGrid w:linePitch="360"/>
        </w:sectPr>
      </w:pPr>
    </w:p>
    <w:p w:rsidR="00AF134F" w:rsidRPr="00E37206" w:rsidRDefault="00AF134F" w:rsidP="00892240">
      <w:pPr>
        <w:jc w:val="both"/>
        <w:rPr>
          <w:i/>
          <w:color w:val="000000"/>
          <w:spacing w:val="1"/>
          <w:sz w:val="20"/>
          <w:szCs w:val="20"/>
        </w:rPr>
      </w:pPr>
    </w:p>
    <w:sectPr w:rsidR="00AF134F" w:rsidRPr="00E37206" w:rsidSect="0015232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A6D"/>
    <w:multiLevelType w:val="hybridMultilevel"/>
    <w:tmpl w:val="CEDA165A"/>
    <w:lvl w:ilvl="0" w:tplc="06BE0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6032A2"/>
    <w:multiLevelType w:val="hybridMultilevel"/>
    <w:tmpl w:val="3C0E6CAC"/>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151999"/>
    <w:multiLevelType w:val="hybridMultilevel"/>
    <w:tmpl w:val="81B209FC"/>
    <w:lvl w:ilvl="0" w:tplc="6AA6D1D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2F337F8"/>
    <w:multiLevelType w:val="hybridMultilevel"/>
    <w:tmpl w:val="CD18C0DE"/>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D35AA5"/>
    <w:multiLevelType w:val="hybridMultilevel"/>
    <w:tmpl w:val="6AEA2F24"/>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7005A16"/>
    <w:multiLevelType w:val="hybridMultilevel"/>
    <w:tmpl w:val="FF2CDDB2"/>
    <w:lvl w:ilvl="0" w:tplc="29B215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096061C"/>
    <w:multiLevelType w:val="hybridMultilevel"/>
    <w:tmpl w:val="5B0C5DA2"/>
    <w:lvl w:ilvl="0" w:tplc="33A0F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21569A6"/>
    <w:multiLevelType w:val="hybridMultilevel"/>
    <w:tmpl w:val="A2DC8396"/>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6B95E6D"/>
    <w:multiLevelType w:val="hybridMultilevel"/>
    <w:tmpl w:val="88B4CF52"/>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D062982"/>
    <w:multiLevelType w:val="hybridMultilevel"/>
    <w:tmpl w:val="05E44758"/>
    <w:lvl w:ilvl="0" w:tplc="86F4ADC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9"/>
  </w:num>
  <w:num w:numId="4">
    <w:abstractNumId w:val="0"/>
  </w:num>
  <w:num w:numId="5">
    <w:abstractNumId w:val="6"/>
  </w:num>
  <w:num w:numId="6">
    <w:abstractNumId w:val="1"/>
  </w:num>
  <w:num w:numId="7">
    <w:abstractNumId w:val="7"/>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C143FF"/>
    <w:rsid w:val="00003809"/>
    <w:rsid w:val="000058D3"/>
    <w:rsid w:val="000064BD"/>
    <w:rsid w:val="00010530"/>
    <w:rsid w:val="00013CB4"/>
    <w:rsid w:val="00027AC5"/>
    <w:rsid w:val="00031AF5"/>
    <w:rsid w:val="00031E72"/>
    <w:rsid w:val="00036F42"/>
    <w:rsid w:val="000401D0"/>
    <w:rsid w:val="000430EE"/>
    <w:rsid w:val="00045803"/>
    <w:rsid w:val="0004586F"/>
    <w:rsid w:val="00046B8C"/>
    <w:rsid w:val="00056E09"/>
    <w:rsid w:val="000606B0"/>
    <w:rsid w:val="000612E2"/>
    <w:rsid w:val="000702FF"/>
    <w:rsid w:val="0007623A"/>
    <w:rsid w:val="00077463"/>
    <w:rsid w:val="000774D6"/>
    <w:rsid w:val="00085D1F"/>
    <w:rsid w:val="00090103"/>
    <w:rsid w:val="000938F0"/>
    <w:rsid w:val="000A0ACA"/>
    <w:rsid w:val="000A0D86"/>
    <w:rsid w:val="000B05A1"/>
    <w:rsid w:val="000B63D9"/>
    <w:rsid w:val="000C1B1C"/>
    <w:rsid w:val="000C6426"/>
    <w:rsid w:val="000C7CB7"/>
    <w:rsid w:val="000E186F"/>
    <w:rsid w:val="000E606D"/>
    <w:rsid w:val="000F0A8C"/>
    <w:rsid w:val="000F3565"/>
    <w:rsid w:val="000F3EDA"/>
    <w:rsid w:val="000F644C"/>
    <w:rsid w:val="00100634"/>
    <w:rsid w:val="001026F3"/>
    <w:rsid w:val="00106755"/>
    <w:rsid w:val="001130F4"/>
    <w:rsid w:val="0011678E"/>
    <w:rsid w:val="00120F54"/>
    <w:rsid w:val="00123AC1"/>
    <w:rsid w:val="00124C5F"/>
    <w:rsid w:val="00125DAD"/>
    <w:rsid w:val="00126670"/>
    <w:rsid w:val="0012728B"/>
    <w:rsid w:val="001333C7"/>
    <w:rsid w:val="00141F79"/>
    <w:rsid w:val="00142FDF"/>
    <w:rsid w:val="00144E1C"/>
    <w:rsid w:val="00147751"/>
    <w:rsid w:val="00151B5F"/>
    <w:rsid w:val="00152325"/>
    <w:rsid w:val="00155945"/>
    <w:rsid w:val="00156A82"/>
    <w:rsid w:val="0016317E"/>
    <w:rsid w:val="00165BF3"/>
    <w:rsid w:val="00165CE5"/>
    <w:rsid w:val="00167B66"/>
    <w:rsid w:val="00170C2E"/>
    <w:rsid w:val="00170FE7"/>
    <w:rsid w:val="001725F3"/>
    <w:rsid w:val="00175779"/>
    <w:rsid w:val="001802C4"/>
    <w:rsid w:val="001853A7"/>
    <w:rsid w:val="001918B0"/>
    <w:rsid w:val="00197E3C"/>
    <w:rsid w:val="001A11D2"/>
    <w:rsid w:val="001A1B48"/>
    <w:rsid w:val="001A6300"/>
    <w:rsid w:val="001B1639"/>
    <w:rsid w:val="001B5592"/>
    <w:rsid w:val="001B5963"/>
    <w:rsid w:val="001B7012"/>
    <w:rsid w:val="001B7F23"/>
    <w:rsid w:val="001C48AA"/>
    <w:rsid w:val="001C547F"/>
    <w:rsid w:val="001C686D"/>
    <w:rsid w:val="001C6A1A"/>
    <w:rsid w:val="001D3FA0"/>
    <w:rsid w:val="001D435A"/>
    <w:rsid w:val="001E1734"/>
    <w:rsid w:val="001E7DEF"/>
    <w:rsid w:val="001F13F7"/>
    <w:rsid w:val="001F1A93"/>
    <w:rsid w:val="001F26AA"/>
    <w:rsid w:val="001F6991"/>
    <w:rsid w:val="001F6BB6"/>
    <w:rsid w:val="0020620D"/>
    <w:rsid w:val="00207969"/>
    <w:rsid w:val="00214065"/>
    <w:rsid w:val="002164EC"/>
    <w:rsid w:val="002168BB"/>
    <w:rsid w:val="00224CCC"/>
    <w:rsid w:val="002264D9"/>
    <w:rsid w:val="00234F08"/>
    <w:rsid w:val="00236520"/>
    <w:rsid w:val="0024234B"/>
    <w:rsid w:val="00242E2B"/>
    <w:rsid w:val="00246817"/>
    <w:rsid w:val="002504D0"/>
    <w:rsid w:val="00256B56"/>
    <w:rsid w:val="00262992"/>
    <w:rsid w:val="00274369"/>
    <w:rsid w:val="00275F70"/>
    <w:rsid w:val="00281368"/>
    <w:rsid w:val="00285D96"/>
    <w:rsid w:val="00293395"/>
    <w:rsid w:val="00293BEB"/>
    <w:rsid w:val="00297488"/>
    <w:rsid w:val="00297630"/>
    <w:rsid w:val="002A3A24"/>
    <w:rsid w:val="002B1259"/>
    <w:rsid w:val="002B1918"/>
    <w:rsid w:val="002B2046"/>
    <w:rsid w:val="002B4F1A"/>
    <w:rsid w:val="002E0FF5"/>
    <w:rsid w:val="002E3FCD"/>
    <w:rsid w:val="002E4603"/>
    <w:rsid w:val="002E746E"/>
    <w:rsid w:val="002F122D"/>
    <w:rsid w:val="0030140F"/>
    <w:rsid w:val="0030148B"/>
    <w:rsid w:val="0030357E"/>
    <w:rsid w:val="00313CEF"/>
    <w:rsid w:val="0032268D"/>
    <w:rsid w:val="00323476"/>
    <w:rsid w:val="003259DB"/>
    <w:rsid w:val="00327B8C"/>
    <w:rsid w:val="003335D4"/>
    <w:rsid w:val="003347AB"/>
    <w:rsid w:val="00337545"/>
    <w:rsid w:val="00341912"/>
    <w:rsid w:val="00343D93"/>
    <w:rsid w:val="003444F7"/>
    <w:rsid w:val="003468B8"/>
    <w:rsid w:val="003624EC"/>
    <w:rsid w:val="00362988"/>
    <w:rsid w:val="00366A20"/>
    <w:rsid w:val="00367BEC"/>
    <w:rsid w:val="003705F3"/>
    <w:rsid w:val="003728E1"/>
    <w:rsid w:val="00377901"/>
    <w:rsid w:val="0038300E"/>
    <w:rsid w:val="003861CB"/>
    <w:rsid w:val="00390A55"/>
    <w:rsid w:val="003919C8"/>
    <w:rsid w:val="003A1901"/>
    <w:rsid w:val="003A39CB"/>
    <w:rsid w:val="003A6C07"/>
    <w:rsid w:val="003A7680"/>
    <w:rsid w:val="003B243D"/>
    <w:rsid w:val="003B3939"/>
    <w:rsid w:val="003C0196"/>
    <w:rsid w:val="003C0831"/>
    <w:rsid w:val="003C24FA"/>
    <w:rsid w:val="003C66F5"/>
    <w:rsid w:val="003C7822"/>
    <w:rsid w:val="003D4EC2"/>
    <w:rsid w:val="003D50A7"/>
    <w:rsid w:val="003F15E9"/>
    <w:rsid w:val="003F35C8"/>
    <w:rsid w:val="003F40BC"/>
    <w:rsid w:val="003F67CC"/>
    <w:rsid w:val="00412C3C"/>
    <w:rsid w:val="00421405"/>
    <w:rsid w:val="004230E1"/>
    <w:rsid w:val="00427948"/>
    <w:rsid w:val="004328B8"/>
    <w:rsid w:val="00445955"/>
    <w:rsid w:val="004475EC"/>
    <w:rsid w:val="00455D92"/>
    <w:rsid w:val="00460583"/>
    <w:rsid w:val="004644F8"/>
    <w:rsid w:val="004715C8"/>
    <w:rsid w:val="00475B61"/>
    <w:rsid w:val="00477DCF"/>
    <w:rsid w:val="004831B3"/>
    <w:rsid w:val="00484874"/>
    <w:rsid w:val="00487C44"/>
    <w:rsid w:val="00491F61"/>
    <w:rsid w:val="00493066"/>
    <w:rsid w:val="00493C18"/>
    <w:rsid w:val="004A1475"/>
    <w:rsid w:val="004A5415"/>
    <w:rsid w:val="004A5755"/>
    <w:rsid w:val="004A5AF5"/>
    <w:rsid w:val="004A65D8"/>
    <w:rsid w:val="004A7F7A"/>
    <w:rsid w:val="004B2F8A"/>
    <w:rsid w:val="004B59DD"/>
    <w:rsid w:val="004C5939"/>
    <w:rsid w:val="004D0E37"/>
    <w:rsid w:val="004D1AC7"/>
    <w:rsid w:val="004D3FE8"/>
    <w:rsid w:val="004D6920"/>
    <w:rsid w:val="004D72EE"/>
    <w:rsid w:val="004D7389"/>
    <w:rsid w:val="004E5A71"/>
    <w:rsid w:val="004F0A8E"/>
    <w:rsid w:val="004F0DB9"/>
    <w:rsid w:val="005038B4"/>
    <w:rsid w:val="0050774A"/>
    <w:rsid w:val="00512109"/>
    <w:rsid w:val="0051711A"/>
    <w:rsid w:val="00520C69"/>
    <w:rsid w:val="00522328"/>
    <w:rsid w:val="00523C87"/>
    <w:rsid w:val="0054045C"/>
    <w:rsid w:val="00544FAB"/>
    <w:rsid w:val="00547DD7"/>
    <w:rsid w:val="0055122C"/>
    <w:rsid w:val="00551884"/>
    <w:rsid w:val="005529CD"/>
    <w:rsid w:val="00553BC3"/>
    <w:rsid w:val="00563072"/>
    <w:rsid w:val="005652E2"/>
    <w:rsid w:val="00576452"/>
    <w:rsid w:val="00576FB9"/>
    <w:rsid w:val="005776F6"/>
    <w:rsid w:val="005803DD"/>
    <w:rsid w:val="005834C3"/>
    <w:rsid w:val="00586829"/>
    <w:rsid w:val="00586AC0"/>
    <w:rsid w:val="005870E8"/>
    <w:rsid w:val="00591C99"/>
    <w:rsid w:val="0059358E"/>
    <w:rsid w:val="00597CF8"/>
    <w:rsid w:val="005A05F7"/>
    <w:rsid w:val="005A0C33"/>
    <w:rsid w:val="005A1DF3"/>
    <w:rsid w:val="005A52E9"/>
    <w:rsid w:val="005A6FA0"/>
    <w:rsid w:val="005B18B4"/>
    <w:rsid w:val="005B33F9"/>
    <w:rsid w:val="005B4B8F"/>
    <w:rsid w:val="005B67B3"/>
    <w:rsid w:val="005B703C"/>
    <w:rsid w:val="005D1FD5"/>
    <w:rsid w:val="005D3643"/>
    <w:rsid w:val="005D67B3"/>
    <w:rsid w:val="005D6A6F"/>
    <w:rsid w:val="005D6D84"/>
    <w:rsid w:val="005E0B57"/>
    <w:rsid w:val="005E0BEB"/>
    <w:rsid w:val="005F3B5C"/>
    <w:rsid w:val="0060282A"/>
    <w:rsid w:val="00603972"/>
    <w:rsid w:val="00606D24"/>
    <w:rsid w:val="006076EA"/>
    <w:rsid w:val="00614CAB"/>
    <w:rsid w:val="00623AA1"/>
    <w:rsid w:val="00624AAE"/>
    <w:rsid w:val="0062601E"/>
    <w:rsid w:val="006338BB"/>
    <w:rsid w:val="00635EFC"/>
    <w:rsid w:val="00640FE9"/>
    <w:rsid w:val="006427B2"/>
    <w:rsid w:val="00644C36"/>
    <w:rsid w:val="006454EE"/>
    <w:rsid w:val="00650C56"/>
    <w:rsid w:val="0065184C"/>
    <w:rsid w:val="00652B65"/>
    <w:rsid w:val="00653491"/>
    <w:rsid w:val="00656589"/>
    <w:rsid w:val="00657EDD"/>
    <w:rsid w:val="006719D9"/>
    <w:rsid w:val="00680343"/>
    <w:rsid w:val="0068236B"/>
    <w:rsid w:val="0069026F"/>
    <w:rsid w:val="00697035"/>
    <w:rsid w:val="006A153E"/>
    <w:rsid w:val="006B1FF0"/>
    <w:rsid w:val="006B2E56"/>
    <w:rsid w:val="006B5F53"/>
    <w:rsid w:val="006C4B0C"/>
    <w:rsid w:val="006C5909"/>
    <w:rsid w:val="006C636B"/>
    <w:rsid w:val="006D01AA"/>
    <w:rsid w:val="006D0A5C"/>
    <w:rsid w:val="006D622E"/>
    <w:rsid w:val="006D675C"/>
    <w:rsid w:val="006E20EE"/>
    <w:rsid w:val="006E7E4E"/>
    <w:rsid w:val="006F1421"/>
    <w:rsid w:val="006F1588"/>
    <w:rsid w:val="00701385"/>
    <w:rsid w:val="00701641"/>
    <w:rsid w:val="00702EE1"/>
    <w:rsid w:val="00703017"/>
    <w:rsid w:val="00703752"/>
    <w:rsid w:val="00705CDF"/>
    <w:rsid w:val="00707D7B"/>
    <w:rsid w:val="0071325B"/>
    <w:rsid w:val="00715B35"/>
    <w:rsid w:val="0072260A"/>
    <w:rsid w:val="007238C1"/>
    <w:rsid w:val="00726152"/>
    <w:rsid w:val="007262B9"/>
    <w:rsid w:val="00730B01"/>
    <w:rsid w:val="0073539C"/>
    <w:rsid w:val="007413EB"/>
    <w:rsid w:val="00741CCD"/>
    <w:rsid w:val="007468E7"/>
    <w:rsid w:val="00753DEB"/>
    <w:rsid w:val="00754037"/>
    <w:rsid w:val="007555C3"/>
    <w:rsid w:val="007564AB"/>
    <w:rsid w:val="007621D0"/>
    <w:rsid w:val="00764DD4"/>
    <w:rsid w:val="00765CC2"/>
    <w:rsid w:val="00766B6B"/>
    <w:rsid w:val="00771DEF"/>
    <w:rsid w:val="00775F70"/>
    <w:rsid w:val="00776E58"/>
    <w:rsid w:val="00781655"/>
    <w:rsid w:val="00784388"/>
    <w:rsid w:val="00793087"/>
    <w:rsid w:val="00795644"/>
    <w:rsid w:val="007A51EB"/>
    <w:rsid w:val="007A5A2E"/>
    <w:rsid w:val="007A72E6"/>
    <w:rsid w:val="007B0BF7"/>
    <w:rsid w:val="007B346B"/>
    <w:rsid w:val="007B3ABD"/>
    <w:rsid w:val="007B47D5"/>
    <w:rsid w:val="007C3CBE"/>
    <w:rsid w:val="007C45F0"/>
    <w:rsid w:val="007C5833"/>
    <w:rsid w:val="007C63BA"/>
    <w:rsid w:val="007E04EC"/>
    <w:rsid w:val="007E6F77"/>
    <w:rsid w:val="007E7405"/>
    <w:rsid w:val="007F1A9C"/>
    <w:rsid w:val="007F3A2E"/>
    <w:rsid w:val="007F4069"/>
    <w:rsid w:val="00807AB5"/>
    <w:rsid w:val="00807F6D"/>
    <w:rsid w:val="0081108F"/>
    <w:rsid w:val="0081269B"/>
    <w:rsid w:val="00814754"/>
    <w:rsid w:val="00821A03"/>
    <w:rsid w:val="0082430A"/>
    <w:rsid w:val="0083113D"/>
    <w:rsid w:val="00833301"/>
    <w:rsid w:val="00835401"/>
    <w:rsid w:val="00846CF7"/>
    <w:rsid w:val="008557BD"/>
    <w:rsid w:val="008605A2"/>
    <w:rsid w:val="00861CE0"/>
    <w:rsid w:val="008651B3"/>
    <w:rsid w:val="00865EF9"/>
    <w:rsid w:val="0086721C"/>
    <w:rsid w:val="008676D1"/>
    <w:rsid w:val="0086791C"/>
    <w:rsid w:val="008679F6"/>
    <w:rsid w:val="00871BE6"/>
    <w:rsid w:val="008746DB"/>
    <w:rsid w:val="00875165"/>
    <w:rsid w:val="00877FE6"/>
    <w:rsid w:val="008867D8"/>
    <w:rsid w:val="008901AF"/>
    <w:rsid w:val="00892240"/>
    <w:rsid w:val="00894087"/>
    <w:rsid w:val="008A0BEA"/>
    <w:rsid w:val="008A148C"/>
    <w:rsid w:val="008A271A"/>
    <w:rsid w:val="008A28FF"/>
    <w:rsid w:val="008A5A91"/>
    <w:rsid w:val="008A7544"/>
    <w:rsid w:val="008B077F"/>
    <w:rsid w:val="008B1FD2"/>
    <w:rsid w:val="008B411D"/>
    <w:rsid w:val="008B5A55"/>
    <w:rsid w:val="008C3432"/>
    <w:rsid w:val="008C43C6"/>
    <w:rsid w:val="008C487A"/>
    <w:rsid w:val="008C50A7"/>
    <w:rsid w:val="008E0A4F"/>
    <w:rsid w:val="008E0C2F"/>
    <w:rsid w:val="008E1203"/>
    <w:rsid w:val="008E3472"/>
    <w:rsid w:val="008E380D"/>
    <w:rsid w:val="008E4914"/>
    <w:rsid w:val="008E707D"/>
    <w:rsid w:val="008F581A"/>
    <w:rsid w:val="008F64E7"/>
    <w:rsid w:val="00901838"/>
    <w:rsid w:val="0090467E"/>
    <w:rsid w:val="0090546E"/>
    <w:rsid w:val="009063AD"/>
    <w:rsid w:val="009215B1"/>
    <w:rsid w:val="00921C61"/>
    <w:rsid w:val="00924A8D"/>
    <w:rsid w:val="0093348C"/>
    <w:rsid w:val="00934182"/>
    <w:rsid w:val="00937A1A"/>
    <w:rsid w:val="00950985"/>
    <w:rsid w:val="0095219A"/>
    <w:rsid w:val="009533B8"/>
    <w:rsid w:val="00960060"/>
    <w:rsid w:val="0096480A"/>
    <w:rsid w:val="00967858"/>
    <w:rsid w:val="00967F7F"/>
    <w:rsid w:val="00970D60"/>
    <w:rsid w:val="009715F3"/>
    <w:rsid w:val="009716C3"/>
    <w:rsid w:val="00971B16"/>
    <w:rsid w:val="009734A7"/>
    <w:rsid w:val="009809BF"/>
    <w:rsid w:val="00981B6B"/>
    <w:rsid w:val="00983112"/>
    <w:rsid w:val="00983DA8"/>
    <w:rsid w:val="00990DC0"/>
    <w:rsid w:val="00994AAF"/>
    <w:rsid w:val="0099518A"/>
    <w:rsid w:val="009B6546"/>
    <w:rsid w:val="009B76D6"/>
    <w:rsid w:val="009C1696"/>
    <w:rsid w:val="009C2669"/>
    <w:rsid w:val="009C5DE5"/>
    <w:rsid w:val="009C6DFA"/>
    <w:rsid w:val="009D0664"/>
    <w:rsid w:val="009D1E2B"/>
    <w:rsid w:val="009D220C"/>
    <w:rsid w:val="009D31BE"/>
    <w:rsid w:val="009D55B9"/>
    <w:rsid w:val="009D777F"/>
    <w:rsid w:val="009E0C42"/>
    <w:rsid w:val="009F3726"/>
    <w:rsid w:val="00A018A5"/>
    <w:rsid w:val="00A03BBE"/>
    <w:rsid w:val="00A042E6"/>
    <w:rsid w:val="00A04ABB"/>
    <w:rsid w:val="00A07691"/>
    <w:rsid w:val="00A07BF9"/>
    <w:rsid w:val="00A10CFB"/>
    <w:rsid w:val="00A1293D"/>
    <w:rsid w:val="00A14727"/>
    <w:rsid w:val="00A14FEF"/>
    <w:rsid w:val="00A171EF"/>
    <w:rsid w:val="00A17393"/>
    <w:rsid w:val="00A21379"/>
    <w:rsid w:val="00A21D63"/>
    <w:rsid w:val="00A346D0"/>
    <w:rsid w:val="00A40495"/>
    <w:rsid w:val="00A4241D"/>
    <w:rsid w:val="00A429D7"/>
    <w:rsid w:val="00A43F39"/>
    <w:rsid w:val="00A453BD"/>
    <w:rsid w:val="00A453E6"/>
    <w:rsid w:val="00A53ACE"/>
    <w:rsid w:val="00A57B32"/>
    <w:rsid w:val="00A57E71"/>
    <w:rsid w:val="00A63B45"/>
    <w:rsid w:val="00A65622"/>
    <w:rsid w:val="00A65C69"/>
    <w:rsid w:val="00A771BF"/>
    <w:rsid w:val="00A77ECF"/>
    <w:rsid w:val="00A806CA"/>
    <w:rsid w:val="00A808B2"/>
    <w:rsid w:val="00A81397"/>
    <w:rsid w:val="00A835E4"/>
    <w:rsid w:val="00A83848"/>
    <w:rsid w:val="00A94CD8"/>
    <w:rsid w:val="00A9678F"/>
    <w:rsid w:val="00A969DA"/>
    <w:rsid w:val="00A96E24"/>
    <w:rsid w:val="00AA068D"/>
    <w:rsid w:val="00AA0D4F"/>
    <w:rsid w:val="00AA0F4F"/>
    <w:rsid w:val="00AA74D1"/>
    <w:rsid w:val="00AB5301"/>
    <w:rsid w:val="00AB707A"/>
    <w:rsid w:val="00AB7BB5"/>
    <w:rsid w:val="00AD2832"/>
    <w:rsid w:val="00AE5A2A"/>
    <w:rsid w:val="00AE62F0"/>
    <w:rsid w:val="00AE7C3C"/>
    <w:rsid w:val="00AF134F"/>
    <w:rsid w:val="00AF26DD"/>
    <w:rsid w:val="00B00A65"/>
    <w:rsid w:val="00B118F7"/>
    <w:rsid w:val="00B15D14"/>
    <w:rsid w:val="00B16082"/>
    <w:rsid w:val="00B2329A"/>
    <w:rsid w:val="00B25BEE"/>
    <w:rsid w:val="00B312C7"/>
    <w:rsid w:val="00B343C8"/>
    <w:rsid w:val="00B3578E"/>
    <w:rsid w:val="00B35B57"/>
    <w:rsid w:val="00B4612D"/>
    <w:rsid w:val="00B47BE5"/>
    <w:rsid w:val="00B53B58"/>
    <w:rsid w:val="00B5655A"/>
    <w:rsid w:val="00B577FD"/>
    <w:rsid w:val="00B606BB"/>
    <w:rsid w:val="00B654AF"/>
    <w:rsid w:val="00B67AE1"/>
    <w:rsid w:val="00B67F00"/>
    <w:rsid w:val="00B71B9C"/>
    <w:rsid w:val="00B773CB"/>
    <w:rsid w:val="00B8180C"/>
    <w:rsid w:val="00B866E8"/>
    <w:rsid w:val="00B87B63"/>
    <w:rsid w:val="00B92023"/>
    <w:rsid w:val="00B93227"/>
    <w:rsid w:val="00B9416F"/>
    <w:rsid w:val="00B9444D"/>
    <w:rsid w:val="00B95A46"/>
    <w:rsid w:val="00BA4B2B"/>
    <w:rsid w:val="00BA592B"/>
    <w:rsid w:val="00BA7DBA"/>
    <w:rsid w:val="00BB40FD"/>
    <w:rsid w:val="00BC589A"/>
    <w:rsid w:val="00BC641B"/>
    <w:rsid w:val="00BD1A09"/>
    <w:rsid w:val="00BD622E"/>
    <w:rsid w:val="00BD7EE0"/>
    <w:rsid w:val="00BE02E4"/>
    <w:rsid w:val="00BE2D07"/>
    <w:rsid w:val="00BE65EC"/>
    <w:rsid w:val="00BF0CFD"/>
    <w:rsid w:val="00BF3D99"/>
    <w:rsid w:val="00C00231"/>
    <w:rsid w:val="00C01386"/>
    <w:rsid w:val="00C01D8A"/>
    <w:rsid w:val="00C04A21"/>
    <w:rsid w:val="00C04F23"/>
    <w:rsid w:val="00C06F46"/>
    <w:rsid w:val="00C076CF"/>
    <w:rsid w:val="00C07DF2"/>
    <w:rsid w:val="00C12D4C"/>
    <w:rsid w:val="00C143FF"/>
    <w:rsid w:val="00C15E88"/>
    <w:rsid w:val="00C17843"/>
    <w:rsid w:val="00C21B93"/>
    <w:rsid w:val="00C21C38"/>
    <w:rsid w:val="00C31392"/>
    <w:rsid w:val="00C3186F"/>
    <w:rsid w:val="00C36E6C"/>
    <w:rsid w:val="00C37608"/>
    <w:rsid w:val="00C431A8"/>
    <w:rsid w:val="00C4498D"/>
    <w:rsid w:val="00C45609"/>
    <w:rsid w:val="00C472E5"/>
    <w:rsid w:val="00C478CA"/>
    <w:rsid w:val="00C53388"/>
    <w:rsid w:val="00C54138"/>
    <w:rsid w:val="00C542BD"/>
    <w:rsid w:val="00C543CC"/>
    <w:rsid w:val="00C66977"/>
    <w:rsid w:val="00C71A5A"/>
    <w:rsid w:val="00C81708"/>
    <w:rsid w:val="00C83FA1"/>
    <w:rsid w:val="00C866C0"/>
    <w:rsid w:val="00C9175E"/>
    <w:rsid w:val="00CA4A34"/>
    <w:rsid w:val="00CA617E"/>
    <w:rsid w:val="00CB1AB5"/>
    <w:rsid w:val="00CB680E"/>
    <w:rsid w:val="00CB6FE8"/>
    <w:rsid w:val="00CB79FF"/>
    <w:rsid w:val="00CC137F"/>
    <w:rsid w:val="00CC169A"/>
    <w:rsid w:val="00CC62D8"/>
    <w:rsid w:val="00CD0467"/>
    <w:rsid w:val="00CE0CF3"/>
    <w:rsid w:val="00CE190C"/>
    <w:rsid w:val="00CE2733"/>
    <w:rsid w:val="00CE2A42"/>
    <w:rsid w:val="00CE778E"/>
    <w:rsid w:val="00CF07C9"/>
    <w:rsid w:val="00D01ECD"/>
    <w:rsid w:val="00D03E55"/>
    <w:rsid w:val="00D041EB"/>
    <w:rsid w:val="00D05A11"/>
    <w:rsid w:val="00D10BCB"/>
    <w:rsid w:val="00D15BAB"/>
    <w:rsid w:val="00D231DF"/>
    <w:rsid w:val="00D27DE4"/>
    <w:rsid w:val="00D309F4"/>
    <w:rsid w:val="00D32476"/>
    <w:rsid w:val="00D32FBC"/>
    <w:rsid w:val="00D3369C"/>
    <w:rsid w:val="00D3372A"/>
    <w:rsid w:val="00D34521"/>
    <w:rsid w:val="00D35520"/>
    <w:rsid w:val="00D36015"/>
    <w:rsid w:val="00D432DB"/>
    <w:rsid w:val="00D43782"/>
    <w:rsid w:val="00D53E87"/>
    <w:rsid w:val="00D55902"/>
    <w:rsid w:val="00D5769E"/>
    <w:rsid w:val="00D60303"/>
    <w:rsid w:val="00D627CA"/>
    <w:rsid w:val="00D63FB9"/>
    <w:rsid w:val="00D64496"/>
    <w:rsid w:val="00D71D7D"/>
    <w:rsid w:val="00D7343B"/>
    <w:rsid w:val="00D75719"/>
    <w:rsid w:val="00D76B09"/>
    <w:rsid w:val="00D830A0"/>
    <w:rsid w:val="00D839B0"/>
    <w:rsid w:val="00D85A9B"/>
    <w:rsid w:val="00DA067C"/>
    <w:rsid w:val="00DA250F"/>
    <w:rsid w:val="00DA715D"/>
    <w:rsid w:val="00DB272F"/>
    <w:rsid w:val="00DB59F4"/>
    <w:rsid w:val="00DB5A9A"/>
    <w:rsid w:val="00DB5FCD"/>
    <w:rsid w:val="00DC25F0"/>
    <w:rsid w:val="00DD2468"/>
    <w:rsid w:val="00DD3997"/>
    <w:rsid w:val="00DD7035"/>
    <w:rsid w:val="00DD77AC"/>
    <w:rsid w:val="00DE39F9"/>
    <w:rsid w:val="00DE45D1"/>
    <w:rsid w:val="00DF01E4"/>
    <w:rsid w:val="00DF3C14"/>
    <w:rsid w:val="00E01CD6"/>
    <w:rsid w:val="00E05BCE"/>
    <w:rsid w:val="00E074D2"/>
    <w:rsid w:val="00E10D4F"/>
    <w:rsid w:val="00E12FAE"/>
    <w:rsid w:val="00E15B45"/>
    <w:rsid w:val="00E17A4B"/>
    <w:rsid w:val="00E250C1"/>
    <w:rsid w:val="00E31545"/>
    <w:rsid w:val="00E3528A"/>
    <w:rsid w:val="00E37206"/>
    <w:rsid w:val="00E412A5"/>
    <w:rsid w:val="00E45730"/>
    <w:rsid w:val="00E45C66"/>
    <w:rsid w:val="00E5165E"/>
    <w:rsid w:val="00E54038"/>
    <w:rsid w:val="00E636FB"/>
    <w:rsid w:val="00E63B77"/>
    <w:rsid w:val="00E64F15"/>
    <w:rsid w:val="00E67CF6"/>
    <w:rsid w:val="00E71BED"/>
    <w:rsid w:val="00E7565C"/>
    <w:rsid w:val="00E76943"/>
    <w:rsid w:val="00E77C5B"/>
    <w:rsid w:val="00E85D8C"/>
    <w:rsid w:val="00E91A97"/>
    <w:rsid w:val="00E93FAD"/>
    <w:rsid w:val="00E970B6"/>
    <w:rsid w:val="00EB0DA0"/>
    <w:rsid w:val="00EB1867"/>
    <w:rsid w:val="00EB427D"/>
    <w:rsid w:val="00EC4735"/>
    <w:rsid w:val="00ED10C7"/>
    <w:rsid w:val="00ED323C"/>
    <w:rsid w:val="00ED3608"/>
    <w:rsid w:val="00ED61F8"/>
    <w:rsid w:val="00EE0ED6"/>
    <w:rsid w:val="00EE1DC3"/>
    <w:rsid w:val="00EE3466"/>
    <w:rsid w:val="00EF344F"/>
    <w:rsid w:val="00EF5913"/>
    <w:rsid w:val="00EF64ED"/>
    <w:rsid w:val="00EF70CD"/>
    <w:rsid w:val="00F121D2"/>
    <w:rsid w:val="00F15551"/>
    <w:rsid w:val="00F24AF9"/>
    <w:rsid w:val="00F251F8"/>
    <w:rsid w:val="00F2792D"/>
    <w:rsid w:val="00F34D08"/>
    <w:rsid w:val="00F359FF"/>
    <w:rsid w:val="00F36C14"/>
    <w:rsid w:val="00F37C2F"/>
    <w:rsid w:val="00F46752"/>
    <w:rsid w:val="00F46FCF"/>
    <w:rsid w:val="00F53787"/>
    <w:rsid w:val="00F63C54"/>
    <w:rsid w:val="00F65C3D"/>
    <w:rsid w:val="00F66A3E"/>
    <w:rsid w:val="00F81D3D"/>
    <w:rsid w:val="00F86A50"/>
    <w:rsid w:val="00F90020"/>
    <w:rsid w:val="00F95F9E"/>
    <w:rsid w:val="00FA01D2"/>
    <w:rsid w:val="00FA262C"/>
    <w:rsid w:val="00FA28BA"/>
    <w:rsid w:val="00FA32D6"/>
    <w:rsid w:val="00FB06C1"/>
    <w:rsid w:val="00FB286C"/>
    <w:rsid w:val="00FB466E"/>
    <w:rsid w:val="00FB4D7C"/>
    <w:rsid w:val="00FC195B"/>
    <w:rsid w:val="00FC294B"/>
    <w:rsid w:val="00FC5821"/>
    <w:rsid w:val="00FC62E4"/>
    <w:rsid w:val="00FC785E"/>
    <w:rsid w:val="00FD17D2"/>
    <w:rsid w:val="00FD39AB"/>
    <w:rsid w:val="00FD76FF"/>
    <w:rsid w:val="00FD7BF7"/>
    <w:rsid w:val="00FE3467"/>
    <w:rsid w:val="00FE5EBE"/>
    <w:rsid w:val="00FF6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696"/>
    <w:rPr>
      <w:sz w:val="24"/>
      <w:szCs w:val="24"/>
    </w:rPr>
  </w:style>
  <w:style w:type="paragraph" w:styleId="1">
    <w:name w:val="heading 1"/>
    <w:basedOn w:val="a"/>
    <w:link w:val="10"/>
    <w:uiPriority w:val="9"/>
    <w:qFormat/>
    <w:locked/>
    <w:rsid w:val="00586AC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1"/>
    <w:uiPriority w:val="99"/>
    <w:locked/>
    <w:rsid w:val="00C143FF"/>
    <w:rPr>
      <w:rFonts w:cs="Times New Roman"/>
      <w:sz w:val="26"/>
      <w:szCs w:val="26"/>
      <w:lang w:bidi="ar-SA"/>
    </w:rPr>
  </w:style>
  <w:style w:type="paragraph" w:customStyle="1" w:styleId="41">
    <w:name w:val="Основной текст (4)1"/>
    <w:basedOn w:val="a"/>
    <w:link w:val="4"/>
    <w:uiPriority w:val="99"/>
    <w:rsid w:val="00C143FF"/>
    <w:pPr>
      <w:shd w:val="clear" w:color="auto" w:fill="FFFFFF"/>
      <w:spacing w:before="720" w:after="360" w:line="240" w:lineRule="atLeast"/>
    </w:pPr>
    <w:rPr>
      <w:sz w:val="26"/>
      <w:szCs w:val="26"/>
    </w:rPr>
  </w:style>
  <w:style w:type="paragraph" w:styleId="a3">
    <w:name w:val="Document Map"/>
    <w:basedOn w:val="a"/>
    <w:link w:val="a4"/>
    <w:uiPriority w:val="99"/>
    <w:semiHidden/>
    <w:rsid w:val="009715F3"/>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locked/>
    <w:rsid w:val="00E412A5"/>
    <w:rPr>
      <w:rFonts w:cs="Times New Roman"/>
      <w:sz w:val="2"/>
    </w:rPr>
  </w:style>
  <w:style w:type="paragraph" w:styleId="a5">
    <w:name w:val="Body Text"/>
    <w:basedOn w:val="a"/>
    <w:link w:val="a6"/>
    <w:uiPriority w:val="99"/>
    <w:rsid w:val="00B15D14"/>
    <w:pPr>
      <w:jc w:val="both"/>
    </w:pPr>
    <w:rPr>
      <w:szCs w:val="20"/>
    </w:rPr>
  </w:style>
  <w:style w:type="character" w:customStyle="1" w:styleId="a6">
    <w:name w:val="Основной текст Знак"/>
    <w:basedOn w:val="a0"/>
    <w:link w:val="a5"/>
    <w:uiPriority w:val="99"/>
    <w:semiHidden/>
    <w:locked/>
    <w:rsid w:val="00E412A5"/>
    <w:rPr>
      <w:rFonts w:cs="Times New Roman"/>
      <w:sz w:val="24"/>
      <w:szCs w:val="24"/>
    </w:rPr>
  </w:style>
  <w:style w:type="paragraph" w:styleId="a7">
    <w:name w:val="Balloon Text"/>
    <w:basedOn w:val="a"/>
    <w:link w:val="a8"/>
    <w:uiPriority w:val="99"/>
    <w:semiHidden/>
    <w:rsid w:val="004D1AC7"/>
    <w:rPr>
      <w:rFonts w:ascii="Tahoma" w:hAnsi="Tahoma" w:cs="Tahoma"/>
      <w:sz w:val="16"/>
      <w:szCs w:val="16"/>
    </w:rPr>
  </w:style>
  <w:style w:type="character" w:customStyle="1" w:styleId="a8">
    <w:name w:val="Текст выноски Знак"/>
    <w:basedOn w:val="a0"/>
    <w:link w:val="a7"/>
    <w:uiPriority w:val="99"/>
    <w:semiHidden/>
    <w:locked/>
    <w:rsid w:val="00E412A5"/>
    <w:rPr>
      <w:rFonts w:cs="Times New Roman"/>
      <w:sz w:val="2"/>
    </w:rPr>
  </w:style>
  <w:style w:type="paragraph" w:styleId="a9">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а, Знак Знак Знак Знак,Знак Знак Знак Знак, Знак, Знак Знак, Зна, "/>
    <w:basedOn w:val="a"/>
    <w:link w:val="aa"/>
    <w:rsid w:val="00CE2A42"/>
    <w:rPr>
      <w:rFonts w:ascii="Courier New" w:hAnsi="Courier New" w:cs="Courier New"/>
      <w:sz w:val="20"/>
      <w:szCs w:val="20"/>
    </w:rPr>
  </w:style>
  <w:style w:type="character" w:customStyle="1" w:styleId="aa">
    <w:name w:val="Текст Знак"/>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Текст Знак1 Знак Знак1,Зна Знак, Зна Знак"/>
    <w:basedOn w:val="a0"/>
    <w:link w:val="a9"/>
    <w:locked/>
    <w:rsid w:val="00CE2A42"/>
    <w:rPr>
      <w:rFonts w:ascii="Courier New" w:hAnsi="Courier New" w:cs="Courier New"/>
      <w:lang w:val="ru-RU" w:eastAsia="ru-RU" w:bidi="ar-SA"/>
    </w:rPr>
  </w:style>
  <w:style w:type="character" w:customStyle="1" w:styleId="13">
    <w:name w:val="Основной текст (13)_"/>
    <w:basedOn w:val="a0"/>
    <w:link w:val="130"/>
    <w:uiPriority w:val="99"/>
    <w:locked/>
    <w:rsid w:val="009D1E2B"/>
    <w:rPr>
      <w:rFonts w:cs="Times New Roman"/>
      <w:b/>
      <w:bCs/>
      <w:sz w:val="27"/>
      <w:szCs w:val="27"/>
      <w:shd w:val="clear" w:color="auto" w:fill="FFFFFF"/>
    </w:rPr>
  </w:style>
  <w:style w:type="paragraph" w:customStyle="1" w:styleId="130">
    <w:name w:val="Основной текст (13)"/>
    <w:basedOn w:val="a"/>
    <w:link w:val="13"/>
    <w:uiPriority w:val="99"/>
    <w:rsid w:val="009D1E2B"/>
    <w:pPr>
      <w:shd w:val="clear" w:color="auto" w:fill="FFFFFF"/>
      <w:spacing w:after="120" w:line="240" w:lineRule="atLeast"/>
    </w:pPr>
    <w:rPr>
      <w:b/>
      <w:bCs/>
      <w:sz w:val="27"/>
      <w:szCs w:val="27"/>
    </w:rPr>
  </w:style>
  <w:style w:type="table" w:styleId="ab">
    <w:name w:val="Table Grid"/>
    <w:basedOn w:val="a1"/>
    <w:locked/>
    <w:rsid w:val="00FD39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ext-small">
    <w:name w:val="text-small"/>
    <w:basedOn w:val="a0"/>
    <w:rsid w:val="006D0A5C"/>
  </w:style>
  <w:style w:type="character" w:customStyle="1" w:styleId="apple-converted-space">
    <w:name w:val="apple-converted-space"/>
    <w:basedOn w:val="a0"/>
    <w:rsid w:val="006D0A5C"/>
  </w:style>
  <w:style w:type="character" w:customStyle="1" w:styleId="margin">
    <w:name w:val="margin"/>
    <w:basedOn w:val="a0"/>
    <w:rsid w:val="006D0A5C"/>
  </w:style>
  <w:style w:type="character" w:styleId="ac">
    <w:name w:val="Emphasis"/>
    <w:basedOn w:val="a0"/>
    <w:uiPriority w:val="20"/>
    <w:qFormat/>
    <w:locked/>
    <w:rsid w:val="008651B3"/>
    <w:rPr>
      <w:i/>
      <w:iCs/>
    </w:rPr>
  </w:style>
  <w:style w:type="paragraph" w:customStyle="1" w:styleId="Style12">
    <w:name w:val="Style12"/>
    <w:basedOn w:val="a"/>
    <w:rsid w:val="00EF344F"/>
    <w:pPr>
      <w:widowControl w:val="0"/>
      <w:autoSpaceDE w:val="0"/>
      <w:autoSpaceDN w:val="0"/>
      <w:adjustRightInd w:val="0"/>
      <w:spacing w:line="365" w:lineRule="exact"/>
      <w:jc w:val="both"/>
    </w:pPr>
  </w:style>
  <w:style w:type="character" w:customStyle="1" w:styleId="FontStyle12">
    <w:name w:val="Font Style12"/>
    <w:basedOn w:val="a0"/>
    <w:rsid w:val="00EF344F"/>
    <w:rPr>
      <w:rFonts w:ascii="Times New Roman" w:hAnsi="Times New Roman" w:cs="Times New Roman"/>
      <w:sz w:val="22"/>
      <w:szCs w:val="22"/>
    </w:rPr>
  </w:style>
  <w:style w:type="paragraph" w:customStyle="1" w:styleId="Style4">
    <w:name w:val="Style4"/>
    <w:basedOn w:val="a"/>
    <w:rsid w:val="00EF344F"/>
    <w:pPr>
      <w:widowControl w:val="0"/>
      <w:autoSpaceDE w:val="0"/>
      <w:autoSpaceDN w:val="0"/>
      <w:adjustRightInd w:val="0"/>
      <w:spacing w:line="277" w:lineRule="exact"/>
      <w:ind w:firstLine="302"/>
      <w:jc w:val="both"/>
    </w:pPr>
  </w:style>
  <w:style w:type="character" w:customStyle="1" w:styleId="FontStyle11">
    <w:name w:val="Font Style11"/>
    <w:basedOn w:val="a0"/>
    <w:rsid w:val="00EF344F"/>
    <w:rPr>
      <w:rFonts w:ascii="Times New Roman" w:hAnsi="Times New Roman" w:cs="Times New Roman"/>
      <w:b/>
      <w:bCs/>
      <w:sz w:val="22"/>
      <w:szCs w:val="22"/>
    </w:rPr>
  </w:style>
  <w:style w:type="paragraph" w:styleId="ad">
    <w:name w:val="Normal (Web)"/>
    <w:basedOn w:val="a"/>
    <w:uiPriority w:val="99"/>
    <w:unhideWhenUsed/>
    <w:rsid w:val="00B00A65"/>
    <w:pPr>
      <w:spacing w:before="100" w:beforeAutospacing="1" w:after="100" w:afterAutospacing="1"/>
    </w:pPr>
  </w:style>
  <w:style w:type="paragraph" w:styleId="ae">
    <w:name w:val="annotation text"/>
    <w:basedOn w:val="a"/>
    <w:link w:val="af"/>
    <w:uiPriority w:val="99"/>
    <w:semiHidden/>
    <w:unhideWhenUsed/>
    <w:rsid w:val="00B00A65"/>
    <w:pPr>
      <w:spacing w:after="200"/>
    </w:pPr>
    <w:rPr>
      <w:rFonts w:ascii="Calibri" w:hAnsi="Calibri"/>
    </w:rPr>
  </w:style>
  <w:style w:type="character" w:customStyle="1" w:styleId="af">
    <w:name w:val="Текст примечания Знак"/>
    <w:basedOn w:val="a0"/>
    <w:link w:val="ae"/>
    <w:uiPriority w:val="99"/>
    <w:semiHidden/>
    <w:rsid w:val="00B00A65"/>
    <w:rPr>
      <w:rFonts w:ascii="Calibri" w:eastAsia="Times New Roman" w:hAnsi="Calibri" w:cs="Times New Roman"/>
      <w:sz w:val="24"/>
      <w:szCs w:val="24"/>
    </w:rPr>
  </w:style>
  <w:style w:type="character" w:customStyle="1" w:styleId="af0">
    <w:name w:val="Основной текст_"/>
    <w:basedOn w:val="a0"/>
    <w:link w:val="3"/>
    <w:rsid w:val="00E31545"/>
    <w:rPr>
      <w:spacing w:val="4"/>
      <w:sz w:val="23"/>
      <w:szCs w:val="23"/>
      <w:shd w:val="clear" w:color="auto" w:fill="FFFFFF"/>
    </w:rPr>
  </w:style>
  <w:style w:type="paragraph" w:customStyle="1" w:styleId="3">
    <w:name w:val="Основной текст3"/>
    <w:basedOn w:val="a"/>
    <w:link w:val="af0"/>
    <w:rsid w:val="00E31545"/>
    <w:pPr>
      <w:widowControl w:val="0"/>
      <w:shd w:val="clear" w:color="auto" w:fill="FFFFFF"/>
      <w:spacing w:before="180" w:line="298" w:lineRule="exact"/>
      <w:jc w:val="both"/>
    </w:pPr>
    <w:rPr>
      <w:spacing w:val="4"/>
      <w:sz w:val="23"/>
      <w:szCs w:val="23"/>
    </w:rPr>
  </w:style>
  <w:style w:type="paragraph" w:styleId="af1">
    <w:name w:val="List Paragraph"/>
    <w:basedOn w:val="a"/>
    <w:qFormat/>
    <w:rsid w:val="004A7F7A"/>
    <w:pPr>
      <w:spacing w:after="200" w:line="276" w:lineRule="auto"/>
      <w:ind w:left="720"/>
      <w:contextualSpacing/>
    </w:pPr>
    <w:rPr>
      <w:rFonts w:ascii="Calibri" w:eastAsia="Calibri" w:hAnsi="Calibri"/>
      <w:sz w:val="22"/>
      <w:szCs w:val="22"/>
      <w:lang w:eastAsia="en-US"/>
    </w:rPr>
  </w:style>
  <w:style w:type="character" w:styleId="af2">
    <w:name w:val="Hyperlink"/>
    <w:basedOn w:val="a0"/>
    <w:uiPriority w:val="99"/>
    <w:semiHidden/>
    <w:unhideWhenUsed/>
    <w:rsid w:val="00B25BEE"/>
    <w:rPr>
      <w:color w:val="0000FF"/>
      <w:u w:val="single"/>
    </w:rPr>
  </w:style>
  <w:style w:type="paragraph" w:styleId="af3">
    <w:name w:val="footer"/>
    <w:basedOn w:val="a"/>
    <w:link w:val="af4"/>
    <w:rsid w:val="003F35C8"/>
    <w:pPr>
      <w:tabs>
        <w:tab w:val="center" w:pos="4677"/>
        <w:tab w:val="right" w:pos="9355"/>
      </w:tabs>
    </w:pPr>
  </w:style>
  <w:style w:type="character" w:customStyle="1" w:styleId="af4">
    <w:name w:val="Нижний колонтитул Знак"/>
    <w:basedOn w:val="a0"/>
    <w:link w:val="af3"/>
    <w:rsid w:val="003F35C8"/>
    <w:rPr>
      <w:sz w:val="24"/>
      <w:szCs w:val="24"/>
    </w:rPr>
  </w:style>
  <w:style w:type="character" w:customStyle="1" w:styleId="10">
    <w:name w:val="Заголовок 1 Знак"/>
    <w:basedOn w:val="a0"/>
    <w:link w:val="1"/>
    <w:uiPriority w:val="9"/>
    <w:rsid w:val="00586AC0"/>
    <w:rPr>
      <w:b/>
      <w:bCs/>
      <w:kern w:val="36"/>
      <w:sz w:val="48"/>
      <w:szCs w:val="48"/>
    </w:rPr>
  </w:style>
  <w:style w:type="character" w:styleId="af5">
    <w:name w:val="Strong"/>
    <w:basedOn w:val="a0"/>
    <w:uiPriority w:val="22"/>
    <w:qFormat/>
    <w:locked/>
    <w:rsid w:val="00B95A46"/>
    <w:rPr>
      <w:b/>
      <w:bCs/>
    </w:rPr>
  </w:style>
  <w:style w:type="paragraph" w:customStyle="1" w:styleId="af6">
    <w:name w:val="Татьяна"/>
    <w:basedOn w:val="a5"/>
    <w:uiPriority w:val="99"/>
    <w:rsid w:val="00152325"/>
    <w:pPr>
      <w:spacing w:after="120"/>
      <w:jc w:val="lef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6072">
      <w:bodyDiv w:val="1"/>
      <w:marLeft w:val="0"/>
      <w:marRight w:val="0"/>
      <w:marTop w:val="0"/>
      <w:marBottom w:val="0"/>
      <w:divBdr>
        <w:top w:val="none" w:sz="0" w:space="0" w:color="auto"/>
        <w:left w:val="none" w:sz="0" w:space="0" w:color="auto"/>
        <w:bottom w:val="none" w:sz="0" w:space="0" w:color="auto"/>
        <w:right w:val="none" w:sz="0" w:space="0" w:color="auto"/>
      </w:divBdr>
      <w:divsChild>
        <w:div w:id="1048258695">
          <w:marLeft w:val="0"/>
          <w:marRight w:val="0"/>
          <w:marTop w:val="0"/>
          <w:marBottom w:val="0"/>
          <w:divBdr>
            <w:top w:val="none" w:sz="0" w:space="0" w:color="auto"/>
            <w:left w:val="none" w:sz="0" w:space="0" w:color="auto"/>
            <w:bottom w:val="none" w:sz="0" w:space="0" w:color="auto"/>
            <w:right w:val="none" w:sz="0" w:space="0" w:color="auto"/>
          </w:divBdr>
        </w:div>
        <w:div w:id="1255743992">
          <w:marLeft w:val="0"/>
          <w:marRight w:val="0"/>
          <w:marTop w:val="0"/>
          <w:marBottom w:val="0"/>
          <w:divBdr>
            <w:top w:val="none" w:sz="0" w:space="0" w:color="auto"/>
            <w:left w:val="none" w:sz="0" w:space="0" w:color="auto"/>
            <w:bottom w:val="none" w:sz="0" w:space="0" w:color="auto"/>
            <w:right w:val="none" w:sz="0" w:space="0" w:color="auto"/>
          </w:divBdr>
        </w:div>
        <w:div w:id="1124619470">
          <w:marLeft w:val="0"/>
          <w:marRight w:val="0"/>
          <w:marTop w:val="0"/>
          <w:marBottom w:val="0"/>
          <w:divBdr>
            <w:top w:val="none" w:sz="0" w:space="0" w:color="auto"/>
            <w:left w:val="none" w:sz="0" w:space="0" w:color="auto"/>
            <w:bottom w:val="none" w:sz="0" w:space="0" w:color="auto"/>
            <w:right w:val="none" w:sz="0" w:space="0" w:color="auto"/>
          </w:divBdr>
        </w:div>
      </w:divsChild>
    </w:div>
    <w:div w:id="225183649">
      <w:bodyDiv w:val="1"/>
      <w:marLeft w:val="0"/>
      <w:marRight w:val="0"/>
      <w:marTop w:val="0"/>
      <w:marBottom w:val="0"/>
      <w:divBdr>
        <w:top w:val="none" w:sz="0" w:space="0" w:color="auto"/>
        <w:left w:val="none" w:sz="0" w:space="0" w:color="auto"/>
        <w:bottom w:val="none" w:sz="0" w:space="0" w:color="auto"/>
        <w:right w:val="none" w:sz="0" w:space="0" w:color="auto"/>
      </w:divBdr>
    </w:div>
    <w:div w:id="287781207">
      <w:bodyDiv w:val="1"/>
      <w:marLeft w:val="0"/>
      <w:marRight w:val="0"/>
      <w:marTop w:val="0"/>
      <w:marBottom w:val="0"/>
      <w:divBdr>
        <w:top w:val="none" w:sz="0" w:space="0" w:color="auto"/>
        <w:left w:val="none" w:sz="0" w:space="0" w:color="auto"/>
        <w:bottom w:val="none" w:sz="0" w:space="0" w:color="auto"/>
        <w:right w:val="none" w:sz="0" w:space="0" w:color="auto"/>
      </w:divBdr>
    </w:div>
    <w:div w:id="600918382">
      <w:bodyDiv w:val="1"/>
      <w:marLeft w:val="0"/>
      <w:marRight w:val="0"/>
      <w:marTop w:val="0"/>
      <w:marBottom w:val="0"/>
      <w:divBdr>
        <w:top w:val="none" w:sz="0" w:space="0" w:color="auto"/>
        <w:left w:val="none" w:sz="0" w:space="0" w:color="auto"/>
        <w:bottom w:val="none" w:sz="0" w:space="0" w:color="auto"/>
        <w:right w:val="none" w:sz="0" w:space="0" w:color="auto"/>
      </w:divBdr>
    </w:div>
    <w:div w:id="618343795">
      <w:bodyDiv w:val="1"/>
      <w:marLeft w:val="0"/>
      <w:marRight w:val="0"/>
      <w:marTop w:val="0"/>
      <w:marBottom w:val="0"/>
      <w:divBdr>
        <w:top w:val="none" w:sz="0" w:space="0" w:color="auto"/>
        <w:left w:val="none" w:sz="0" w:space="0" w:color="auto"/>
        <w:bottom w:val="none" w:sz="0" w:space="0" w:color="auto"/>
        <w:right w:val="none" w:sz="0" w:space="0" w:color="auto"/>
      </w:divBdr>
    </w:div>
    <w:div w:id="789054980">
      <w:bodyDiv w:val="1"/>
      <w:marLeft w:val="0"/>
      <w:marRight w:val="0"/>
      <w:marTop w:val="0"/>
      <w:marBottom w:val="0"/>
      <w:divBdr>
        <w:top w:val="none" w:sz="0" w:space="0" w:color="auto"/>
        <w:left w:val="none" w:sz="0" w:space="0" w:color="auto"/>
        <w:bottom w:val="none" w:sz="0" w:space="0" w:color="auto"/>
        <w:right w:val="none" w:sz="0" w:space="0" w:color="auto"/>
      </w:divBdr>
    </w:div>
    <w:div w:id="926889764">
      <w:bodyDiv w:val="1"/>
      <w:marLeft w:val="0"/>
      <w:marRight w:val="0"/>
      <w:marTop w:val="0"/>
      <w:marBottom w:val="0"/>
      <w:divBdr>
        <w:top w:val="none" w:sz="0" w:space="0" w:color="auto"/>
        <w:left w:val="none" w:sz="0" w:space="0" w:color="auto"/>
        <w:bottom w:val="none" w:sz="0" w:space="0" w:color="auto"/>
        <w:right w:val="none" w:sz="0" w:space="0" w:color="auto"/>
      </w:divBdr>
      <w:divsChild>
        <w:div w:id="672536493">
          <w:marLeft w:val="0"/>
          <w:marRight w:val="0"/>
          <w:marTop w:val="0"/>
          <w:marBottom w:val="0"/>
          <w:divBdr>
            <w:top w:val="none" w:sz="0" w:space="0" w:color="auto"/>
            <w:left w:val="none" w:sz="0" w:space="0" w:color="auto"/>
            <w:bottom w:val="none" w:sz="0" w:space="0" w:color="auto"/>
            <w:right w:val="none" w:sz="0" w:space="0" w:color="auto"/>
          </w:divBdr>
        </w:div>
        <w:div w:id="1313675076">
          <w:marLeft w:val="0"/>
          <w:marRight w:val="0"/>
          <w:marTop w:val="0"/>
          <w:marBottom w:val="0"/>
          <w:divBdr>
            <w:top w:val="none" w:sz="0" w:space="0" w:color="auto"/>
            <w:left w:val="none" w:sz="0" w:space="0" w:color="auto"/>
            <w:bottom w:val="none" w:sz="0" w:space="0" w:color="auto"/>
            <w:right w:val="none" w:sz="0" w:space="0" w:color="auto"/>
          </w:divBdr>
        </w:div>
        <w:div w:id="740567341">
          <w:marLeft w:val="0"/>
          <w:marRight w:val="0"/>
          <w:marTop w:val="0"/>
          <w:marBottom w:val="0"/>
          <w:divBdr>
            <w:top w:val="none" w:sz="0" w:space="0" w:color="auto"/>
            <w:left w:val="none" w:sz="0" w:space="0" w:color="auto"/>
            <w:bottom w:val="none" w:sz="0" w:space="0" w:color="auto"/>
            <w:right w:val="none" w:sz="0" w:space="0" w:color="auto"/>
          </w:divBdr>
        </w:div>
      </w:divsChild>
    </w:div>
    <w:div w:id="1498233228">
      <w:bodyDiv w:val="1"/>
      <w:marLeft w:val="0"/>
      <w:marRight w:val="0"/>
      <w:marTop w:val="0"/>
      <w:marBottom w:val="0"/>
      <w:divBdr>
        <w:top w:val="none" w:sz="0" w:space="0" w:color="auto"/>
        <w:left w:val="none" w:sz="0" w:space="0" w:color="auto"/>
        <w:bottom w:val="none" w:sz="0" w:space="0" w:color="auto"/>
        <w:right w:val="none" w:sz="0" w:space="0" w:color="auto"/>
      </w:divBdr>
    </w:div>
    <w:div w:id="188412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BBC89-38F1-4BB3-8E9E-7FA2E298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Pages>
  <Words>2751</Words>
  <Characters>15687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
  <LinksUpToDate>false</LinksUpToDate>
  <CharactersWithSpaces>18402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zinchenko</dc:creator>
  <cp:keywords/>
  <dc:description/>
  <cp:lastModifiedBy>Руссу Александра Витальевна</cp:lastModifiedBy>
  <cp:revision>32</cp:revision>
  <cp:lastPrinted>2018-02-21T13:41:00Z</cp:lastPrinted>
  <dcterms:created xsi:type="dcterms:W3CDTF">2018-02-06T08:34:00Z</dcterms:created>
  <dcterms:modified xsi:type="dcterms:W3CDTF">2018-02-26T07:29:00Z</dcterms:modified>
</cp:coreProperties>
</file>